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C9A84C"/>
          <w:sz w:val="18"/>
          <w:szCs w:val="18"/>
        </w:rPr>
        <w:t xml:space="preserve">FP&amp;A BENCHMARK STUDY · JUNE 2026</w:t>
      </w:r>
    </w:p>
    <w:p>
      <w:pPr>
        <w:spacing w:after="40" w:before="0"/>
      </w:pPr>
      <w:r>
        <w:rPr>
          <w:rFonts w:ascii="Arial" w:cs="Arial" w:eastAsia="Arial" w:hAnsi="Arial"/>
          <w:b/>
          <w:bCs/>
          <w:color w:val="0F1B2D"/>
          <w:sz w:val="40"/>
          <w:szCs w:val="40"/>
        </w:rPr>
        <w:t xml:space="preserve">Model Choice, Effort Level, and FP&amp;A Output Quality</w:t>
      </w:r>
    </w:p>
    <w:p>
      <w:pPr>
        <w:spacing w:after="80" w:before="0"/>
      </w:pPr>
      <w:r>
        <w:rPr>
          <w:rFonts w:ascii="Arial" w:cs="Arial" w:eastAsia="Arial" w:hAnsi="Arial"/>
          <w:i/>
          <w:iCs/>
          <w:color w:val="4A6080"/>
          <w:sz w:val="28"/>
          <w:szCs w:val="28"/>
        </w:rPr>
        <w:t xml:space="preserve">A Practitioner Benchmark of Claude Opus 4.8 and Sonnet 4.6 on Monthly Close Reporting</w:t>
      </w:r>
    </w:p>
    <w:p>
      <w:pPr>
        <w:pBdr>
          <w:bottom w:val="single" w:color="C9A84C" w:sz="6" w:space="4"/>
        </w:pBdr>
        <w:spacing w:after="40" w:before="80"/>
      </w:pPr>
      <w:r>
        <w:rPr>
          <w:rFonts w:ascii="Arial" w:cs="Arial" w:eastAsia="Arial" w:hAnsi="Arial"/>
          <w:sz w:val="22"/>
          <w:szCs w:val="22"/>
        </w:rPr>
        <w:t xml:space="preserve"/>
      </w:r>
    </w:p>
    <w:p>
      <w:pPr>
        <w:spacing w:after="0" w:before="0" w:line="240"/>
      </w:pPr>
      <w:r>
        <w:rPr>
          <w:rFonts w:ascii="Arial" w:cs="Arial" w:eastAsia="Arial" w:hAnsi="Arial"/>
          <w:sz w:val="22"/>
          <w:szCs w:val="22"/>
        </w:rPr>
        <w:t xml:space="preserve"/>
      </w:r>
    </w:p>
    <w:p>
      <w:pPr>
        <w:spacing w:after="40" w:before="60" w:line="276"/>
        <w:jc w:val="left"/>
      </w:pPr>
      <w:r>
        <w:rPr>
          <w:rFonts w:ascii="Arial" w:cs="Arial" w:eastAsia="Arial" w:hAnsi="Arial"/>
          <w:b/>
          <w:bCs/>
          <w:i w:val="false"/>
          <w:iCs w:val="false"/>
          <w:color w:val="0F1B2D"/>
          <w:sz w:val="22"/>
          <w:szCs w:val="22"/>
        </w:rPr>
        <w:t xml:space="preserve">Author: </w:t>
      </w:r>
      <w:r>
        <w:rPr>
          <w:rFonts w:ascii="Arial" w:cs="Arial" w:eastAsia="Arial" w:hAnsi="Arial"/>
          <w:b w:val="false"/>
          <w:bCs w:val="false"/>
          <w:i w:val="false"/>
          <w:iCs w:val="false"/>
          <w:color w:val="000000"/>
          <w:sz w:val="22"/>
          <w:szCs w:val="22"/>
        </w:rPr>
        <w:t xml:space="preserve">Yehuda Slater</w:t>
      </w:r>
    </w:p>
    <w:p>
      <w:pPr>
        <w:spacing w:after="40" w:before="40" w:line="276"/>
        <w:jc w:val="left"/>
      </w:pPr>
      <w:r>
        <w:rPr>
          <w:rFonts w:ascii="Arial" w:cs="Arial" w:eastAsia="Arial" w:hAnsi="Arial"/>
          <w:b/>
          <w:bCs/>
          <w:i w:val="false"/>
          <w:iCs w:val="false"/>
          <w:color w:val="0F1B2D"/>
          <w:sz w:val="22"/>
          <w:szCs w:val="22"/>
        </w:rPr>
        <w:t xml:space="preserve">Credentials: </w:t>
      </w:r>
      <w:r>
        <w:rPr>
          <w:rFonts w:ascii="Arial" w:cs="Arial" w:eastAsia="Arial" w:hAnsi="Arial"/>
          <w:b w:val="false"/>
          <w:bCs w:val="false"/>
          <w:i w:val="false"/>
          <w:iCs w:val="false"/>
          <w:color w:val="000000"/>
          <w:sz w:val="22"/>
          <w:szCs w:val="22"/>
        </w:rPr>
        <w:t xml:space="preserve">PhD Economics (Hebrew University of Jerusalem); FP&amp;A Professional; former FP&amp;A Analyst at CES Transformers and HP Indigo</w:t>
      </w:r>
    </w:p>
    <w:p>
      <w:pPr>
        <w:spacing w:after="40" w:before="40" w:line="276"/>
        <w:jc w:val="left"/>
      </w:pPr>
      <w:r>
        <w:rPr>
          <w:rFonts w:ascii="Arial" w:cs="Arial" w:eastAsia="Arial" w:hAnsi="Arial"/>
          <w:b/>
          <w:bCs/>
          <w:i w:val="false"/>
          <w:iCs w:val="false"/>
          <w:color w:val="0F1B2D"/>
          <w:sz w:val="22"/>
          <w:szCs w:val="22"/>
        </w:rPr>
        <w:t xml:space="preserve">Date: </w:t>
      </w:r>
      <w:r>
        <w:rPr>
          <w:rFonts w:ascii="Arial" w:cs="Arial" w:eastAsia="Arial" w:hAnsi="Arial"/>
          <w:b w:val="false"/>
          <w:bCs w:val="false"/>
          <w:i w:val="false"/>
          <w:iCs w:val="false"/>
          <w:color w:val="000000"/>
          <w:sz w:val="22"/>
          <w:szCs w:val="22"/>
        </w:rPr>
        <w:t xml:space="preserve">June 1, 2026</w:t>
      </w:r>
    </w:p>
    <w:p>
      <w:pPr>
        <w:spacing w:after="80" w:before="40" w:line="276"/>
        <w:jc w:val="left"/>
      </w:pPr>
      <w:r>
        <w:rPr>
          <w:rFonts w:ascii="Arial" w:cs="Arial" w:eastAsia="Arial" w:hAnsi="Arial"/>
          <w:b/>
          <w:bCs/>
          <w:i w:val="false"/>
          <w:iCs w:val="false"/>
          <w:color w:val="0F1B2D"/>
          <w:sz w:val="22"/>
          <w:szCs w:val="22"/>
        </w:rPr>
        <w:t xml:space="preserve">Website: </w:t>
      </w:r>
      <w:r>
        <w:rPr>
          <w:rFonts w:ascii="Arial" w:cs="Arial" w:eastAsia="Arial" w:hAnsi="Arial"/>
          <w:b w:val="false"/>
          <w:bCs w:val="false"/>
          <w:i w:val="false"/>
          <w:iCs w:val="false"/>
          <w:color w:val="000000"/>
          <w:sz w:val="22"/>
          <w:szCs w:val="22"/>
        </w:rPr>
        <w:t xml:space="preserve">yehuda-slater.netlify.app</w:t>
      </w:r>
    </w:p>
    <w:p>
      <w:pPr>
        <w:spacing w:after="0" w:before="0" w:line="240"/>
      </w:pPr>
      <w:r>
        <w:rPr>
          <w:rFonts w:ascii="Arial" w:cs="Arial" w:eastAsia="Arial" w:hAnsi="Arial"/>
          <w:sz w:val="22"/>
          <w:szCs w:val="22"/>
        </w:rPr>
        <w:t xml:space="preserve"/>
      </w:r>
    </w:p>
    <w:p>
      <w:pPr>
        <w:pStyle w:val="Heading1"/>
        <w:pBdr>
          <w:bottom w:val="single" w:color="0F1B2D" w:sz="6" w:space="4"/>
        </w:pBdr>
        <w:spacing w:after="160" w:before="320"/>
      </w:pPr>
      <w:r>
        <w:rPr>
          <w:rFonts w:ascii="Arial" w:cs="Arial" w:eastAsia="Arial" w:hAnsi="Arial"/>
          <w:b/>
          <w:bCs/>
          <w:color w:val="0F1B2D"/>
          <w:sz w:val="32"/>
          <w:szCs w:val="32"/>
        </w:rPr>
        <w:t xml:space="preserve">Practitioner Summary</w:t>
      </w:r>
    </w:p>
    <w:p>
      <w:pPr>
        <w:spacing w:after="80" w:before="120" w:line="276"/>
        <w:jc w:val="left"/>
      </w:pPr>
      <w:r>
        <w:rPr>
          <w:rFonts w:ascii="Arial" w:cs="Arial" w:eastAsia="Arial" w:hAnsi="Arial"/>
          <w:b w:val="false"/>
          <w:bCs w:val="false"/>
          <w:i w:val="false"/>
          <w:iCs w:val="false"/>
          <w:color w:val="000000"/>
          <w:sz w:val="22"/>
          <w:szCs w:val="22"/>
        </w:rPr>
        <w:t xml:space="preserve">This one-page summary is written for FP&amp;A professionals who want the findings without reading the full paper.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9"/>
                <w:szCs w:val="19"/>
              </w:rPr>
              <w:t xml:space="preserve">Research Question</w:t>
            </w:r>
          </w:p>
        </w:tc>
        <w:tc>
          <w:tcPr>
            <w:tcW w:type="dxa" w:w="71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val="false"/>
                <w:bCs w:val="false"/>
                <w:color w:val="FFFFFF"/>
                <w:sz w:val="19"/>
                <w:szCs w:val="19"/>
              </w:rPr>
              <w:t xml:space="preserve">Does a more capable Claude model at higher effort produce meaningfully better FP&amp;A output, and if so, at what resource cost?</w:t>
            </w:r>
          </w:p>
        </w:tc>
      </w:tr>
      <w:tr>
        <w:tc>
          <w:tcPr>
            <w:tcW w:type="dxa" w:w="220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left"/>
            </w:pPr>
            <w:r>
              <w:rPr>
                <w:rFonts w:ascii="Arial" w:cs="Arial" w:eastAsia="Arial" w:hAnsi="Arial"/>
                <w:b/>
                <w:bCs/>
                <w:color w:val="0F1B2D"/>
                <w:sz w:val="19"/>
                <w:szCs w:val="19"/>
              </w:rPr>
              <w:t xml:space="preserve">Experimental Design</w:t>
            </w:r>
          </w:p>
        </w:tc>
        <w:tc>
          <w:tcPr>
            <w:tcW w:type="dxa" w:w="71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Five conditions tested: Opus 4.8 at High and Low effort; Sonnet 4.6 at High, Medium, and Low effort. Identical prompt and dataset supplied to each. Outputs scored on a seven-dimension rubric by the author, an FP&amp;A professional with direct manufacturing CFO-level experience.</w:t>
            </w:r>
          </w:p>
        </w:tc>
      </w:tr>
      <w:tr>
        <w:tc>
          <w:tcPr>
            <w:tcW w:type="dxa" w:w="220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left"/>
            </w:pPr>
            <w:r>
              <w:rPr>
                <w:rFonts w:ascii="Arial" w:cs="Arial" w:eastAsia="Arial" w:hAnsi="Arial"/>
                <w:b/>
                <w:bCs/>
                <w:color w:val="0F1B2D"/>
                <w:sz w:val="19"/>
                <w:szCs w:val="19"/>
              </w:rPr>
              <w:t xml:space="preserve">Headline Finding</w:t>
            </w:r>
          </w:p>
        </w:tc>
        <w:tc>
          <w:tcPr>
            <w:tcW w:type="dxa" w:w="71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Sonnet 4.6 High matched Opus 4.8 High on total quality score (74/100) while consuming materially less observed session capacity. However, the scores diverge at the dimension level: Opus 4.8 produced deeper causal commentary; Sonnet 4.6 produced stronger structure and actionability. Neither model produced a board-ready output without human review.</w:t>
            </w:r>
          </w:p>
        </w:tc>
      </w:tr>
      <w:tr>
        <w:tc>
          <w:tcPr>
            <w:tcW w:type="dxa" w:w="220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left"/>
            </w:pPr>
            <w:r>
              <w:rPr>
                <w:rFonts w:ascii="Arial" w:cs="Arial" w:eastAsia="Arial" w:hAnsi="Arial"/>
                <w:b/>
                <w:bCs/>
                <w:color w:val="0F1B2D"/>
                <w:sz w:val="19"/>
                <w:szCs w:val="19"/>
              </w:rPr>
              <w:t xml:space="preserve">Practical Recommendation</w:t>
            </w:r>
          </w:p>
        </w:tc>
        <w:tc>
          <w:tcPr>
            <w:tcW w:type="dxa" w:w="71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Use Sonnet 4.6 High as the default for routine monthly reporting. Add root-cause commentary yourself. Upgrade to Opus 4.8 High when causal diagnosis is the core deliverable. Avoid Sonnet 4.6 Low for any output you plan to act on without heavy numerical verification.</w:t>
            </w:r>
          </w:p>
        </w:tc>
      </w:tr>
      <w:tr>
        <w:tc>
          <w:tcPr>
            <w:tcW w:type="dxa" w:w="2200"/>
            <w:tcBorders>
              <w:top w:val="single" w:color="CBD5E1" w:sz="1"/>
              <w:left w:val="single" w:color="CBD5E1" w:sz="1"/>
              <w:bottom w:val="single" w:color="CBD5E1" w:sz="1"/>
              <w:right w:val="single" w:color="CBD5E1" w:sz="1"/>
            </w:tcBorders>
            <w:shd w:fill="FDE8E8" w:val="clear"/>
            <w:tcMar>
              <w:top w:type="dxa" w:w="80"/>
              <w:left w:type="dxa" w:w="120"/>
              <w:bottom w:type="dxa" w:w="80"/>
              <w:right w:type="dxa" w:w="120"/>
            </w:tcMar>
          </w:tcPr>
          <w:p>
            <w:pPr>
              <w:jc w:val="left"/>
            </w:pPr>
            <w:r>
              <w:rPr>
                <w:rFonts w:ascii="Arial" w:cs="Arial" w:eastAsia="Arial" w:hAnsi="Arial"/>
                <w:b/>
                <w:bCs/>
                <w:color w:val="8B1A1A"/>
                <w:sz w:val="19"/>
                <w:szCs w:val="19"/>
              </w:rPr>
              <w:t xml:space="preserve">Main Risk Warning</w:t>
            </w:r>
          </w:p>
        </w:tc>
        <w:tc>
          <w:tcPr>
            <w:tcW w:type="dxa" w:w="7160"/>
            <w:tcBorders>
              <w:top w:val="single" w:color="CBD5E1" w:sz="1"/>
              <w:left w:val="single" w:color="CBD5E1" w:sz="1"/>
              <w:bottom w:val="single" w:color="CBD5E1" w:sz="1"/>
              <w:right w:val="single" w:color="CBD5E1" w:sz="1"/>
            </w:tcBorders>
            <w:shd w:fill="FDF5F5" w:val="clear"/>
            <w:tcMar>
              <w:top w:type="dxa" w:w="80"/>
              <w:left w:type="dxa" w:w="120"/>
              <w:bottom w:type="dxa" w:w="80"/>
              <w:right w:type="dxa" w:w="120"/>
            </w:tcMar>
          </w:tcPr>
          <w:p>
            <w:pPr>
              <w:jc w:val="left"/>
            </w:pPr>
            <w:r>
              <w:rPr>
                <w:rFonts w:ascii="Arial" w:cs="Arial" w:eastAsia="Arial" w:hAnsi="Arial"/>
                <w:b w:val="false"/>
                <w:bCs w:val="false"/>
                <w:color w:val="8B1A1A"/>
                <w:sz w:val="19"/>
                <w:szCs w:val="19"/>
              </w:rPr>
              <w:t xml:space="preserve">The highest-risk output was not the least polished one. Sonnet 4.6 Low produced strong structure and actionability but weak numerical accuracy (D6 score of 2/5). A practitioner relying on it without verification could act on incorrect figures. Polished presentation is not evidence of numerical correctness.</w:t>
            </w:r>
          </w:p>
        </w:tc>
      </w:tr>
      <w:tr>
        <w:tc>
          <w:tcPr>
            <w:tcW w:type="dxa" w:w="22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9"/>
                <w:szCs w:val="19"/>
              </w:rPr>
              <w:t xml:space="preserve">Bottom-Line Decision Rule</w:t>
            </w:r>
          </w:p>
        </w:tc>
        <w:tc>
          <w:tcPr>
            <w:tcW w:type="dxa" w:w="71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9"/>
                <w:szCs w:val="19"/>
              </w:rPr>
              <w:t xml:space="preserve">Sonnet produces the structure; the analyst provides the cause. Opus produces the cause; the analyst refines the communication. Neither model eliminates the need for professional judgment.</w:t>
            </w:r>
          </w:p>
        </w:tc>
      </w:tr>
      <w:tr>
        <w:tc>
          <w:tcPr>
            <w:tcW w:type="dxa" w:w="220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left"/>
            </w:pPr>
            <w:r>
              <w:rPr>
                <w:rFonts w:ascii="Arial" w:cs="Arial" w:eastAsia="Arial" w:hAnsi="Arial"/>
                <w:b/>
                <w:bCs/>
                <w:color w:val="0F1B2D"/>
                <w:sz w:val="19"/>
                <w:szCs w:val="19"/>
              </w:rPr>
              <w:t xml:space="preserve">Methodological Note</w:t>
            </w:r>
          </w:p>
        </w:tc>
        <w:tc>
          <w:tcPr>
            <w:tcW w:type="dxa" w:w="71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4A6080"/>
                <w:sz w:val="18"/>
                <w:szCs w:val="18"/>
              </w:rPr>
              <w:t xml:space="preserve">The dataset, rubric, and scoring were all designed and applied by the same author without blind evaluation. These results should be interpreted as a structured practitioner benchmark rather than a blinded academic evaluation.</w:t>
            </w:r>
          </w:p>
        </w:tc>
      </w:tr>
    </w:tbl>
    <w:p>
      <w:pPr>
        <w:spacing w:after="0" w:before="0" w:line="240"/>
      </w:pPr>
      <w:r>
        <w:rPr>
          <w:rFonts w:ascii="Arial" w:cs="Arial" w:eastAsia="Arial" w:hAnsi="Arial"/>
          <w:sz w:val="22"/>
          <w:szCs w:val="22"/>
        </w:rPr>
        <w:t xml:space="preserve"/>
      </w:r>
    </w:p>
    <w:p>
      <w:pPr>
        <w:pStyle w:val="Heading1"/>
        <w:pBdr>
          <w:bottom w:val="single" w:color="0F1B2D" w:sz="6" w:space="4"/>
        </w:pBdr>
        <w:spacing w:after="160" w:before="320"/>
      </w:pPr>
      <w:r>
        <w:rPr>
          <w:rFonts w:ascii="Arial" w:cs="Arial" w:eastAsia="Arial" w:hAnsi="Arial"/>
          <w:b/>
          <w:bCs/>
          <w:color w:val="0F1B2D"/>
          <w:sz w:val="32"/>
          <w:szCs w:val="32"/>
        </w:rPr>
        <w:t xml:space="preserve">Abstract</w:t>
      </w:r>
    </w:p>
    <w:p>
      <w:pPr>
        <w:spacing w:after="80" w:before="120" w:line="276"/>
        <w:jc w:val="left"/>
      </w:pPr>
      <w:r>
        <w:rPr>
          <w:rFonts w:ascii="Arial" w:cs="Arial" w:eastAsia="Arial" w:hAnsi="Arial"/>
          <w:b w:val="false"/>
          <w:bCs w:val="false"/>
          <w:i w:val="false"/>
          <w:iCs w:val="false"/>
          <w:color w:val="000000"/>
          <w:sz w:val="22"/>
          <w:szCs w:val="22"/>
        </w:rPr>
        <w:t xml:space="preserve">This paper presents a structured practitioner benchmark comparing two Anthropic Claude model versions, Opus 4.8 and Sonnet 4.6, across three effort intensity levels (High, Medium, Low) on a standardised CFO monthly close reporting task. Five conditions were evaluated: Opus 4.8 at High and Low effort, and Sonnet 4.6 at High, Medium, and Low effort. Each condition was scored against a seven-dimension rubric assessing output completeness, variance classification accuracy, causal commentary depth, red flag detection, board pack quality, numerical accuracy, and actionability. Resource consumption was tracked using response time, session capacity consumption, weekly capacity consumption, and word count as directional proxies in the absence of direct token measurement.</w:t>
      </w:r>
    </w:p>
    <w:p>
      <w:pPr>
        <w:spacing w:after="120" w:before="80" w:line="276"/>
        <w:jc w:val="left"/>
      </w:pPr>
      <w:r>
        <w:rPr>
          <w:rFonts w:ascii="Arial" w:cs="Arial" w:eastAsia="Arial" w:hAnsi="Arial"/>
          <w:b w:val="false"/>
          <w:bCs w:val="false"/>
          <w:i w:val="false"/>
          <w:iCs w:val="false"/>
          <w:color w:val="000000"/>
          <w:sz w:val="22"/>
          <w:szCs w:val="22"/>
        </w:rPr>
        <w:t xml:space="preserve">The central finding is that Sonnet 4.6 at High effort matched Opus 4.8 at High effort in total quality score of 74 out of 100, while consuming materially less observed session capacity. Because direct token usage was unavailable, this should be interpreted as a directional efficiency signal rather than a precise cost comparison. However, equal total scores mask a meaningful compositional difference: Opus 4.8 High scored higher on causal commentary depth, the highest-weighted dimension, while Sonnet 4.6 High scored higher on actionability and structural completeness. This score composition divergence is a more informative finding than the aggregate tie, and carries direct implications for model selection depending on the nature of the FP&amp;A deliverable. A secondary finding is that within the Sonnet 4.6 model family, the Medium effort setting produced no material quality improvement over the Low setting despite higher resource consumption, suggesting diminishing returns to effort intensity below the High threshold for this task type. All conditions, regardless of model or effort level, scored uniformly below expectations on board pack quality, indicating this dimension requires dedicated prompt engineering rather than increased model capability or effort. A critical risk finding: the highest-risk output in the study was not the weakest-looking one. Sonnet 4.6 Low combined strong structural presentation and actionability with materially weak numerical accuracy, creating a false sense of reliability that could mislead a practitioner who does not verify the underlying figures.</w:t>
      </w:r>
    </w:p>
    <w:p>
      <w:r>
        <w:br w:type="page"/>
      </w:r>
    </w:p>
    <w:p>
      <w:pPr>
        <w:pStyle w:val="Heading1"/>
        <w:pBdr>
          <w:bottom w:val="single" w:color="0F1B2D" w:sz="6" w:space="4"/>
        </w:pBdr>
        <w:spacing w:after="160" w:before="320"/>
      </w:pPr>
      <w:r>
        <w:rPr>
          <w:rFonts w:ascii="Arial" w:cs="Arial" w:eastAsia="Arial" w:hAnsi="Arial"/>
          <w:b/>
          <w:bCs/>
          <w:color w:val="0F1B2D"/>
          <w:sz w:val="32"/>
          <w:szCs w:val="32"/>
        </w:rPr>
        <w:t xml:space="preserve">1. Introduction and Motivation</w:t>
      </w:r>
    </w:p>
    <w:p>
      <w:pPr>
        <w:spacing w:after="80" w:before="120" w:line="276"/>
        <w:jc w:val="left"/>
      </w:pPr>
      <w:r>
        <w:rPr>
          <w:rFonts w:ascii="Arial" w:cs="Arial" w:eastAsia="Arial" w:hAnsi="Arial"/>
          <w:b w:val="false"/>
          <w:bCs w:val="false"/>
          <w:i w:val="false"/>
          <w:iCs w:val="false"/>
          <w:color w:val="000000"/>
          <w:sz w:val="22"/>
          <w:szCs w:val="22"/>
        </w:rPr>
        <w:t xml:space="preserve">Anthropic's release of Claude Opus 4.8, together with user-selectable effort intensity levels, created a new decision variable for AI practitioners: not just which model to use, but how hard to ask it to work. For finance professionals, this raises a practical question with real cost implications. A CFO monthly close reporting package is among the most demanding analytical tasks in FP&amp;A: it requires multi-layer financial reasoning, precise numerical computation, causal attribution, risk escalation judgment, and executive communication ability, all applied simultaneously to raw data.</w:t>
      </w:r>
    </w:p>
    <w:p>
      <w:pPr>
        <w:spacing w:after="120" w:before="80" w:line="276"/>
        <w:jc w:val="left"/>
      </w:pPr>
      <w:r>
        <w:rPr>
          <w:rFonts w:ascii="Arial" w:cs="Arial" w:eastAsia="Arial" w:hAnsi="Arial"/>
          <w:b w:val="false"/>
          <w:bCs w:val="false"/>
          <w:i w:val="false"/>
          <w:iCs w:val="false"/>
          <w:color w:val="000000"/>
          <w:sz w:val="22"/>
          <w:szCs w:val="22"/>
        </w:rPr>
        <w:t xml:space="preserve">This study was designed to answer one question with professional specificity: for a standardised, complex FP&amp;A task, does a more capable model at higher effort produce meaningfully better output, and if so, at what cost in resources? The author's background, direct FP&amp;A experience with CEOs and CFOs in manufacturing environments, provided both the task design and the evaluative judgment required to score outputs against professional standards rather than generic criteria.</w:t>
      </w:r>
    </w:p>
    <w:p>
      <w:pPr>
        <w:pStyle w:val="Heading2"/>
        <w:spacing w:after="120" w:before="240"/>
      </w:pPr>
      <w:r>
        <w:rPr>
          <w:rFonts w:ascii="Arial" w:cs="Arial" w:eastAsia="Arial" w:hAnsi="Arial"/>
          <w:b/>
          <w:bCs/>
          <w:color w:val="0F1B2D"/>
          <w:sz w:val="26"/>
          <w:szCs w:val="26"/>
        </w:rPr>
        <w:t xml:space="preserve">1.1 Background and Related Literature</w:t>
      </w:r>
    </w:p>
    <w:p>
      <w:pPr>
        <w:pStyle w:val="Heading3"/>
        <w:spacing w:after="80" w:before="180"/>
      </w:pPr>
      <w:r>
        <w:rPr>
          <w:rFonts w:ascii="Arial" w:cs="Arial" w:eastAsia="Arial" w:hAnsi="Arial"/>
          <w:b/>
          <w:bCs/>
          <w:color w:val="4A6080"/>
          <w:sz w:val="24"/>
          <w:szCs w:val="24"/>
        </w:rPr>
        <w:t xml:space="preserve">LLM Benchmarking in Finance</w:t>
      </w:r>
    </w:p>
    <w:p>
      <w:pPr>
        <w:spacing w:after="80" w:before="120" w:line="276"/>
        <w:jc w:val="left"/>
      </w:pPr>
      <w:r>
        <w:rPr>
          <w:rFonts w:ascii="Arial" w:cs="Arial" w:eastAsia="Arial" w:hAnsi="Arial"/>
          <w:b w:val="false"/>
          <w:bCs w:val="false"/>
          <w:i w:val="false"/>
          <w:iCs w:val="false"/>
          <w:color w:val="000000"/>
          <w:sz w:val="22"/>
          <w:szCs w:val="22"/>
        </w:rPr>
        <w:t xml:space="preserve">Most existing LLM finance benchmarks evaluate narrow NLP tasks such as sentiment analysis, named entity recognition, or document question answering. FinQA (Chen et al., 2021) extended this to numerical reasoning over financial statements; XFinBench (Zhao et al., 2024) introduced graduate-level finance problems, finding that even the best model achieved only 67.3% accuracy against human experts. The Finance Agent Benchmark (Bigeard et al., 2025) tested agents on real-world research tasks drawn from SEC filings, finding 46.8% accuracy for the leading model. A consistent limitation of these benchmarks is their focus on isolated task components rather than the multi-output analytical workflows that define professional FP&amp;A work. As noted by Coqueret and Guida (2025), most financial benchmarks provide limited insight into the quantitative reasoning and decision-making capabilities essential for real-world financial management. This study addresses that gap by evaluating a complete analytical workflow.</w:t>
      </w:r>
    </w:p>
    <w:p>
      <w:pPr>
        <w:pStyle w:val="Heading3"/>
        <w:spacing w:after="80" w:before="180"/>
      </w:pPr>
      <w:r>
        <w:rPr>
          <w:rFonts w:ascii="Arial" w:cs="Arial" w:eastAsia="Arial" w:hAnsi="Arial"/>
          <w:b/>
          <w:bCs/>
          <w:color w:val="4A6080"/>
          <w:sz w:val="24"/>
          <w:szCs w:val="24"/>
        </w:rPr>
        <w:t xml:space="preserve">Inference-Time Compute and Effort Scaling</w:t>
      </w:r>
    </w:p>
    <w:p>
      <w:pPr>
        <w:spacing w:after="80" w:before="120" w:line="276"/>
        <w:jc w:val="left"/>
      </w:pPr>
      <w:r>
        <w:rPr>
          <w:rFonts w:ascii="Arial" w:cs="Arial" w:eastAsia="Arial" w:hAnsi="Arial"/>
          <w:b w:val="false"/>
          <w:bCs w:val="false"/>
          <w:i w:val="false"/>
          <w:iCs w:val="false"/>
          <w:color w:val="000000"/>
          <w:sz w:val="22"/>
          <w:szCs w:val="22"/>
        </w:rPr>
        <w:t xml:space="preserve">Snell et al. (2024) demonstrated that scaling test-time compute can be more effective than scaling model parameters for certain task types. A NeurIPS 2025 workshop paper examined budget tuning, available for Anthropic Claude and OpenAI o1, which allows users to allocate greater computational effort to more challenging inputs. Su et al. (2025) identified both underthinking and overthinking failure modes, finding that reasoning quality rather than volume is the operative variable. Li et al. (2026) corroborated this, finding that output token count exhibits a moderate negative correlation with performance while a deep-thinking ratio shows a strong positive correlation. Sardana et al. (2025) extended the Chinchilla scaling framework to incorporate inference costs, finding that smaller models can often match larger ones at lower total compute in high-usage settings. These findings are relevant context for cases in this study where higher effort settings did not produce proportionally better outputs.</w:t>
      </w:r>
    </w:p>
    <w:p>
      <w:pPr>
        <w:pStyle w:val="Heading3"/>
        <w:spacing w:after="80" w:before="180"/>
      </w:pPr>
      <w:r>
        <w:rPr>
          <w:rFonts w:ascii="Arial" w:cs="Arial" w:eastAsia="Arial" w:hAnsi="Arial"/>
          <w:b/>
          <w:bCs/>
          <w:color w:val="4A6080"/>
          <w:sz w:val="24"/>
          <w:szCs w:val="24"/>
        </w:rPr>
        <w:t xml:space="preserve">Evaluation Methodology: The Role of Domain Expertise</w:t>
      </w:r>
    </w:p>
    <w:p>
      <w:pPr>
        <w:spacing w:after="80" w:before="120" w:line="276"/>
        <w:jc w:val="left"/>
      </w:pPr>
      <w:r>
        <w:rPr>
          <w:rFonts w:ascii="Arial" w:cs="Arial" w:eastAsia="Arial" w:hAnsi="Arial"/>
          <w:b w:val="false"/>
          <w:bCs w:val="false"/>
          <w:i w:val="false"/>
          <w:iCs w:val="false"/>
          <w:color w:val="000000"/>
          <w:sz w:val="22"/>
          <w:szCs w:val="22"/>
        </w:rPr>
        <w:t xml:space="preserve">The methodology of this study, in which a single domain expert evaluated outputs against a structured rubric, warrants situating in the broader LLM evaluation literature. For open-ended professional tasks, human expert judgment is more appropriate than automated metrics. Zheng et al. (2023) showed that LLM-as-a-judge frameworks achieve over 80% agreement with human evaluators in general settings, but professional task evaluation requires domain-specific rubrics. JADE (Lin et al., 2025) proposes encoding expert knowledge as predefined evaluation skills and performing claim-level assessment, demonstrating better alignment with expert-authored rubrics than holistic automated evaluators. Husain and Shankar (2026) argue that for domain-specific professional tasks, a single internal domain expert is the most effective final evaluator. This is the approach taken in the present study, with its inherent subjectivity risks disclosed in Section 5.</w:t>
      </w:r>
    </w:p>
    <w:p>
      <w:pPr>
        <w:spacing w:after="120" w:before="80" w:line="276"/>
        <w:jc w:val="left"/>
      </w:pPr>
      <w:r>
        <w:rPr>
          <w:rFonts w:ascii="Arial" w:cs="Arial" w:eastAsia="Arial" w:hAnsi="Arial"/>
          <w:b w:val="false"/>
          <w:bCs w:val="false"/>
          <w:i w:val="false"/>
          <w:iCs w:val="false"/>
          <w:color w:val="000000"/>
          <w:sz w:val="22"/>
          <w:szCs w:val="22"/>
        </w:rPr>
        <w:t xml:space="preserve">A further methodological consideration is the distinction between closed-form and open-ended professional task evaluation. For tasks with a defined correct answer, automated evaluation against a ground truth is sufficient. For tasks like the CFO monthly close package, where output quality is a function of analytical depth, causal reasoning quality, and executive communication appropriateness, human professional judgment is not merely preferable but necessary. This is the gap between existing finance LLM benchmarks and the present study.</w:t>
      </w:r>
    </w:p>
    <w:p>
      <w:pPr>
        <w:pStyle w:val="Heading2"/>
        <w:spacing w:after="120" w:before="240"/>
      </w:pPr>
      <w:r>
        <w:rPr>
          <w:rFonts w:ascii="Arial" w:cs="Arial" w:eastAsia="Arial" w:hAnsi="Arial"/>
          <w:b/>
          <w:bCs/>
          <w:color w:val="0F1B2D"/>
          <w:sz w:val="26"/>
          <w:szCs w:val="26"/>
        </w:rPr>
        <w:t xml:space="preserve">1.2 Research Questions</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Does Opus 4.8 produce materially higher quality FP&amp;A output than Sonnet 4.6 on a complex analytical task?</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Does higher effort intensity produce meaningfully better output within the same model?</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Is there a condition that maximises quality per unit of resource consumed?</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Which analytical dimensions show the most variation across conditions, and which are uniformly weak?</w:t>
      </w:r>
    </w:p>
    <w:p>
      <w:pPr>
        <w:spacing w:after="0" w:before="0" w:line="240"/>
      </w:pPr>
      <w:r>
        <w:rPr>
          <w:rFonts w:ascii="Arial" w:cs="Arial" w:eastAsia="Arial" w:hAnsi="Arial"/>
          <w:sz w:val="22"/>
          <w:szCs w:val="22"/>
        </w:rPr>
        <w:t xml:space="preserve"/>
      </w:r>
    </w:p>
    <w:p>
      <w:pPr>
        <w:pStyle w:val="Heading1"/>
        <w:pBdr>
          <w:bottom w:val="single" w:color="0F1B2D" w:sz="6" w:space="4"/>
        </w:pBdr>
        <w:spacing w:after="160" w:before="320"/>
      </w:pPr>
      <w:r>
        <w:rPr>
          <w:rFonts w:ascii="Arial" w:cs="Arial" w:eastAsia="Arial" w:hAnsi="Arial"/>
          <w:b/>
          <w:bCs/>
          <w:color w:val="0F1B2D"/>
          <w:sz w:val="32"/>
          <w:szCs w:val="32"/>
        </w:rPr>
        <w:t xml:space="preserve">2. Methodology</w:t>
      </w:r>
    </w:p>
    <w:p>
      <w:pPr>
        <w:pStyle w:val="Heading2"/>
        <w:spacing w:after="120" w:before="240"/>
      </w:pPr>
      <w:r>
        <w:rPr>
          <w:rFonts w:ascii="Arial" w:cs="Arial" w:eastAsia="Arial" w:hAnsi="Arial"/>
          <w:b/>
          <w:bCs/>
          <w:color w:val="0F1B2D"/>
          <w:sz w:val="26"/>
          <w:szCs w:val="26"/>
        </w:rPr>
        <w:t xml:space="preserve">2.1 Experimental Design</w:t>
      </w:r>
    </w:p>
    <w:p>
      <w:pPr>
        <w:spacing w:after="80" w:before="120" w:line="276"/>
        <w:jc w:val="left"/>
      </w:pPr>
      <w:r>
        <w:rPr>
          <w:rFonts w:ascii="Arial" w:cs="Arial" w:eastAsia="Arial" w:hAnsi="Arial"/>
          <w:b w:val="false"/>
          <w:bCs w:val="false"/>
          <w:i w:val="false"/>
          <w:iCs w:val="false"/>
          <w:color w:val="000000"/>
          <w:sz w:val="22"/>
          <w:szCs w:val="22"/>
        </w:rPr>
        <w:t xml:space="preserve">The experiment follows a controlled factorial design with two factors: model version (Opus 4.8, Sonnet 4.6) and effort intensity level (High, Medium, Low). The full design yields six conditions. Due to time constraints, the Opus 4.8 Medium condition was omitted following analysis of the four completed conditions, which suggested the Medium data point was more informative for the Sonnet 4.6 model given the proximity of Opus 4.8 High and Low scores. Five conditions were ultimately evaluated.</w:t>
      </w:r>
    </w:p>
    <w:p>
      <w:pPr>
        <w:pBdr>
          <w:left w:val="single" w:color="C9A84C" w:sz="12" w:space="8"/>
        </w:pBdr>
        <w:spacing w:after="120" w:before="120" w:line="276"/>
        <w:ind w:left="720" w:right="720"/>
      </w:pPr>
      <w:r>
        <w:rPr>
          <w:rFonts w:ascii="Arial" w:cs="Arial" w:eastAsia="Arial" w:hAnsi="Arial"/>
          <w:i/>
          <w:iCs/>
          <w:color w:val="4A6080"/>
          <w:sz w:val="22"/>
          <w:szCs w:val="22"/>
        </w:rPr>
        <w:t xml:space="preserve">Methodological transparency: The author designed the dataset and the embedded analytical challenges, constructed the scoring rubric, and scored all outputs while knowing which model produced each. This gives domain-valid professional judgment but introduces potential scoring bias. Results should be interpreted as a structured practitioner benchmark rather than a blinded academic evaluation. Future work should engage independent evaluators who have no prior knowledge of the dataset design.</w:t>
      </w:r>
    </w:p>
    <w:p>
      <w:pPr>
        <w:spacing w:after="120" w:before="80" w:line="276"/>
        <w:jc w:val="left"/>
      </w:pPr>
      <w:r>
        <w:rPr>
          <w:rFonts w:ascii="Arial" w:cs="Arial" w:eastAsia="Arial" w:hAnsi="Arial"/>
          <w:b w:val="false"/>
          <w:bCs w:val="false"/>
          <w:i w:val="false"/>
          <w:iCs w:val="false"/>
          <w:color w:val="000000"/>
          <w:sz w:val="22"/>
          <w:szCs w:val="22"/>
        </w:rPr>
        <w:t xml:space="preserve">All conditions received the identical prompt and the identical input dataset. Each run was conducted as a fresh conversation with no prior context. Runs were conducted between 9:00 AM and 5:00 PM on Monday, June 1, 2026, within standard business hours to control for server load variability. The author disabled all custom account-level skills prior to testing to ensure each model operated without prompt-engineering assistance, testing raw model capability rather than augmented performance.</w:t>
      </w:r>
    </w:p>
    <w:p>
      <w:pPr>
        <w:pStyle w:val="Heading2"/>
        <w:spacing w:after="120" w:before="240"/>
      </w:pPr>
      <w:r>
        <w:rPr>
          <w:rFonts w:ascii="Arial" w:cs="Arial" w:eastAsia="Arial" w:hAnsi="Arial"/>
          <w:b/>
          <w:bCs/>
          <w:color w:val="0F1B2D"/>
          <w:sz w:val="26"/>
          <w:szCs w:val="26"/>
        </w:rPr>
        <w:t xml:space="preserve">2.2 Task Design</w:t>
      </w:r>
    </w:p>
    <w:p>
      <w:pPr>
        <w:spacing w:after="80" w:before="120" w:line="276"/>
        <w:jc w:val="left"/>
      </w:pPr>
      <w:r>
        <w:rPr>
          <w:rFonts w:ascii="Arial" w:cs="Arial" w:eastAsia="Arial" w:hAnsi="Arial"/>
          <w:b w:val="false"/>
          <w:bCs w:val="false"/>
          <w:i w:val="false"/>
          <w:iCs w:val="false"/>
          <w:color w:val="000000"/>
          <w:sz w:val="22"/>
          <w:szCs w:val="22"/>
        </w:rPr>
        <w:t xml:space="preserve">The task was a CFO-ready monthly close reporting package for Meridian Manufacturing Inc., a fictional mid-sized electrical transformer manufacturer (B2B, project-based and service contract revenue model, two Ontario plants, approximately 180 employees). The fictional company was designed to closely resemble the industrial manufacturing environments in which the author has direct FP&amp;A experience, enabling professional-grade evaluation.</w:t>
      </w:r>
    </w:p>
    <w:p>
      <w:pPr>
        <w:spacing w:after="120" w:before="80" w:line="276"/>
        <w:jc w:val="left"/>
      </w:pPr>
      <w:r>
        <w:rPr>
          <w:rFonts w:ascii="Arial" w:cs="Arial" w:eastAsia="Arial" w:hAnsi="Arial"/>
          <w:b w:val="false"/>
          <w:bCs w:val="false"/>
          <w:i w:val="false"/>
          <w:iCs w:val="false"/>
          <w:color w:val="000000"/>
          <w:sz w:val="22"/>
          <w:szCs w:val="22"/>
        </w:rPr>
        <w:t xml:space="preserve">The prompt instructed the model to produce ten deliverables: Data Quality Summary, Executive Summary, KPI Dashboard, Revenue Analysis, Income Statement and EBITDA Bridge with variance classification, Cash Flow, Balance Sheet, Root-Cause and Action Plan, Reforecast Implications, and a Board Pack One-Pager. The prompt explicitly required traffic light ratings, causal commentary, variance classification using an OT/T/R/S/U framework, red flag escalation, and a concrete recommended action per section.</w:t>
      </w:r>
    </w:p>
    <w:p>
      <w:pPr>
        <w:pStyle w:val="Heading2"/>
        <w:spacing w:after="120" w:before="240"/>
      </w:pPr>
      <w:r>
        <w:rPr>
          <w:rFonts w:ascii="Arial" w:cs="Arial" w:eastAsia="Arial" w:hAnsi="Arial"/>
          <w:b/>
          <w:bCs/>
          <w:color w:val="0F1B2D"/>
          <w:sz w:val="26"/>
          <w:szCs w:val="26"/>
        </w:rPr>
        <w:t xml:space="preserve">2.3 Dataset Design</w:t>
      </w:r>
    </w:p>
    <w:p>
      <w:pPr>
        <w:spacing w:after="80" w:before="120" w:line="276"/>
        <w:jc w:val="left"/>
      </w:pPr>
      <w:r>
        <w:rPr>
          <w:rFonts w:ascii="Arial" w:cs="Arial" w:eastAsia="Arial" w:hAnsi="Arial"/>
          <w:b w:val="false"/>
          <w:bCs w:val="false"/>
          <w:i w:val="false"/>
          <w:iCs w:val="false"/>
          <w:color w:val="000000"/>
          <w:sz w:val="22"/>
          <w:szCs w:val="22"/>
        </w:rPr>
        <w:t xml:space="preserve">Rather than supplying pre-aggregated financial figures, the input dataset consisted of three structured tabs: a company setup sheet (profile, materiality thresholds, GL classification hints), a twelve-month budget sheet (fifteen line items across all months), and a raw GL transaction sheet (forty-two individual April 2026 transactions with dates, GL codes, account descriptions, amounts, references, and contextual notes). This required the model to classify, aggregate, and analyse data from first principles rather than narrating pre-digested summaries.</w:t>
      </w:r>
    </w:p>
    <w:p>
      <w:pPr>
        <w:spacing w:after="120" w:before="80" w:line="276"/>
        <w:jc w:val="left"/>
      </w:pPr>
      <w:r>
        <w:rPr>
          <w:rFonts w:ascii="Arial" w:cs="Arial" w:eastAsia="Arial" w:hAnsi="Arial"/>
          <w:b w:val="false"/>
          <w:bCs w:val="false"/>
          <w:i w:val="false"/>
          <w:iCs w:val="false"/>
          <w:color w:val="000000"/>
          <w:sz w:val="22"/>
          <w:szCs w:val="22"/>
        </w:rPr>
        <w:t xml:space="preserve">The dataset embedded seven embedded analytical challenges: a cash runway approaching the 2-month threshold (2.1 months at close), an EBITDA shortfall of 69% against budget, GP margin compression of 8.1 percentage points driven by a copper cost increase of approximately 12%, two large orders deferred to Q3 totalling $475K, a new engineering hire producing a recurring salary variance of $40K per year, a one-time trade show overspend of $35K, and uncertain service contract renewals totalling $420K annualised due in May.</w:t>
      </w:r>
    </w:p>
    <w:p>
      <w:pPr>
        <w:pStyle w:val="Heading2"/>
        <w:spacing w:after="120" w:before="240"/>
      </w:pPr>
      <w:r>
        <w:rPr>
          <w:rFonts w:ascii="Arial" w:cs="Arial" w:eastAsia="Arial" w:hAnsi="Arial"/>
          <w:b/>
          <w:bCs/>
          <w:color w:val="0F1B2D"/>
          <w:sz w:val="26"/>
          <w:szCs w:val="26"/>
        </w:rPr>
        <w:t xml:space="preserve">2.4 Scoring Rubric</w:t>
      </w:r>
    </w:p>
    <w:p>
      <w:pPr>
        <w:spacing w:after="80" w:before="120" w:line="276"/>
        <w:jc w:val="left"/>
      </w:pPr>
      <w:r>
        <w:rPr>
          <w:rFonts w:ascii="Arial" w:cs="Arial" w:eastAsia="Arial" w:hAnsi="Arial"/>
          <w:b w:val="false"/>
          <w:bCs w:val="false"/>
          <w:i w:val="false"/>
          <w:iCs w:val="false"/>
          <w:color w:val="000000"/>
          <w:sz w:val="22"/>
          <w:szCs w:val="22"/>
        </w:rPr>
        <w:t xml:space="preserve">Outputs were evaluated on seven dimensions, each scored 1 to 5 by the author following reading of the complete model output. Dimension weights reflect the relative analytical importance of each capability in a professional FP&amp;A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600"/>
        <w:gridCol w:w="4360"/>
        <w:gridCol w:w="800"/>
        <w:gridCol w:w="1200"/>
      </w:tblGrid>
      <w:tr>
        <w:tc>
          <w:tcPr>
            <w:tcW w:type="dxa" w:w="4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Dim.</w:t>
            </w:r>
          </w:p>
        </w:tc>
        <w:tc>
          <w:tcPr>
            <w:tcW w:type="dxa" w:w="26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Name</w:t>
            </w:r>
          </w:p>
        </w:tc>
        <w:tc>
          <w:tcPr>
            <w:tcW w:type="dxa" w:w="43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What a score of 5 requires</w:t>
            </w:r>
          </w:p>
        </w:tc>
        <w:tc>
          <w:tcPr>
            <w:tcW w:type="dxa" w:w="8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Wt.</w:t>
            </w:r>
          </w:p>
        </w:tc>
        <w:tc>
          <w:tcPr>
            <w:tcW w:type="dxa" w:w="12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Max pts.</w:t>
            </w:r>
          </w:p>
        </w:tc>
      </w:tr>
      <w:tr>
        <w:tc>
          <w:tcPr>
            <w:tcW w:type="dxa" w:w="4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00000"/>
                <w:sz w:val="19"/>
                <w:szCs w:val="19"/>
              </w:rPr>
              <w:t xml:space="preserve">D1</w:t>
            </w:r>
          </w:p>
        </w:tc>
        <w:tc>
          <w:tcPr>
            <w:tcW w:type="dxa" w:w="26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Output Completeness</w:t>
            </w:r>
          </w:p>
        </w:tc>
        <w:tc>
          <w:tcPr>
            <w:tcW w:type="dxa" w:w="43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All 10 required sections present and populated</w:t>
            </w:r>
          </w:p>
        </w:tc>
        <w:tc>
          <w:tcPr>
            <w:tcW w:type="dxa" w:w="8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×2</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10</w:t>
            </w:r>
          </w:p>
        </w:tc>
      </w:tr>
      <w:tr>
        <w:tc>
          <w:tcPr>
            <w:tcW w:type="dxa" w:w="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bCs/>
                <w:color w:val="000000"/>
                <w:sz w:val="19"/>
                <w:szCs w:val="19"/>
              </w:rPr>
              <w:t xml:space="preserve">D2</w:t>
            </w:r>
          </w:p>
        </w:tc>
        <w:tc>
          <w:tcPr>
            <w:tcW w:type="dxa" w:w="2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Variance Classification</w:t>
            </w:r>
          </w:p>
        </w:tc>
        <w:tc>
          <w:tcPr>
            <w:tcW w:type="dxa" w:w="43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Every material variance labelled OT/T/R/S/U correctly</w:t>
            </w:r>
          </w:p>
        </w:tc>
        <w:tc>
          <w:tcPr>
            <w:tcW w:type="dxa" w:w="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×2</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10</w:t>
            </w:r>
          </w:p>
        </w:tc>
      </w:tr>
      <w:tr>
        <w:tc>
          <w:tcPr>
            <w:tcW w:type="dxa" w:w="4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00000"/>
                <w:sz w:val="19"/>
                <w:szCs w:val="19"/>
              </w:rPr>
              <w:t xml:space="preserve">D3</w:t>
            </w:r>
          </w:p>
        </w:tc>
        <w:tc>
          <w:tcPr>
            <w:tcW w:type="dxa" w:w="26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Causal Commentary</w:t>
            </w:r>
          </w:p>
        </w:tc>
        <w:tc>
          <w:tcPr>
            <w:tcW w:type="dxa" w:w="43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Commentary explains WHY with named specific drivers</w:t>
            </w:r>
          </w:p>
        </w:tc>
        <w:tc>
          <w:tcPr>
            <w:tcW w:type="dxa" w:w="8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15</w:t>
            </w:r>
          </w:p>
        </w:tc>
      </w:tr>
      <w:tr>
        <w:tc>
          <w:tcPr>
            <w:tcW w:type="dxa" w:w="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bCs/>
                <w:color w:val="000000"/>
                <w:sz w:val="19"/>
                <w:szCs w:val="19"/>
              </w:rPr>
              <w:t xml:space="preserve">D4</w:t>
            </w:r>
          </w:p>
        </w:tc>
        <w:tc>
          <w:tcPr>
            <w:tcW w:type="dxa" w:w="2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Red Flag Detection</w:t>
            </w:r>
          </w:p>
        </w:tc>
        <w:tc>
          <w:tcPr>
            <w:tcW w:type="dxa" w:w="43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All embedded warning signals caught and escalated</w:t>
            </w:r>
          </w:p>
        </w:tc>
        <w:tc>
          <w:tcPr>
            <w:tcW w:type="dxa" w:w="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×2</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10</w:t>
            </w:r>
          </w:p>
        </w:tc>
      </w:tr>
      <w:tr>
        <w:tc>
          <w:tcPr>
            <w:tcW w:type="dxa" w:w="4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00000"/>
                <w:sz w:val="19"/>
                <w:szCs w:val="19"/>
              </w:rPr>
              <w:t xml:space="preserve">D5</w:t>
            </w:r>
          </w:p>
        </w:tc>
        <w:tc>
          <w:tcPr>
            <w:tcW w:type="dxa" w:w="26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Board Pack Quality</w:t>
            </w:r>
          </w:p>
        </w:tc>
        <w:tc>
          <w:tcPr>
            <w:tcW w:type="dxa" w:w="43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One-pager is genuinely usable by a CFO unchanged</w:t>
            </w:r>
          </w:p>
        </w:tc>
        <w:tc>
          <w:tcPr>
            <w:tcW w:type="dxa" w:w="8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×2</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10</w:t>
            </w:r>
          </w:p>
        </w:tc>
      </w:tr>
      <w:tr>
        <w:tc>
          <w:tcPr>
            <w:tcW w:type="dxa" w:w="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bCs/>
                <w:color w:val="000000"/>
                <w:sz w:val="19"/>
                <w:szCs w:val="19"/>
              </w:rPr>
              <w:t xml:space="preserve">D6</w:t>
            </w:r>
          </w:p>
        </w:tc>
        <w:tc>
          <w:tcPr>
            <w:tcW w:type="dxa" w:w="26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Numerical Accuracy</w:t>
            </w:r>
          </w:p>
        </w:tc>
        <w:tc>
          <w:tcPr>
            <w:tcW w:type="dxa" w:w="43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All bridges close; variances and traffic lights correct</w:t>
            </w:r>
          </w:p>
        </w:tc>
        <w:tc>
          <w:tcPr>
            <w:tcW w:type="dxa" w:w="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×2</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10</w:t>
            </w:r>
          </w:p>
        </w:tc>
      </w:tr>
      <w:tr>
        <w:tc>
          <w:tcPr>
            <w:tcW w:type="dxa" w:w="4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00000"/>
                <w:sz w:val="19"/>
                <w:szCs w:val="19"/>
              </w:rPr>
              <w:t xml:space="preserve">D7</w:t>
            </w:r>
          </w:p>
        </w:tc>
        <w:tc>
          <w:tcPr>
            <w:tcW w:type="dxa" w:w="26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Actionability</w:t>
            </w:r>
          </w:p>
        </w:tc>
        <w:tc>
          <w:tcPr>
            <w:tcW w:type="dxa" w:w="43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9"/>
                <w:szCs w:val="19"/>
              </w:rPr>
              <w:t xml:space="preserve">Each section ends with one specific, ownable action</w:t>
            </w:r>
          </w:p>
        </w:tc>
        <w:tc>
          <w:tcPr>
            <w:tcW w:type="dxa" w:w="8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×1</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5</w:t>
            </w:r>
          </w:p>
        </w:tc>
      </w:tr>
    </w:tbl>
    <w:p>
      <w:pPr>
        <w:spacing w:after="0" w:before="0" w:line="240"/>
      </w:pPr>
      <w:r>
        <w:rPr>
          <w:rFonts w:ascii="Arial" w:cs="Arial" w:eastAsia="Arial" w:hAnsi="Arial"/>
          <w:sz w:val="22"/>
          <w:szCs w:val="22"/>
        </w:rPr>
        <w:t xml:space="preserve"/>
      </w:r>
    </w:p>
    <w:p>
      <w:pPr>
        <w:spacing w:after="80" w:before="80" w:line="276"/>
        <w:jc w:val="left"/>
      </w:pPr>
      <w:r>
        <w:rPr>
          <w:rFonts w:ascii="Arial" w:cs="Arial" w:eastAsia="Arial" w:hAnsi="Arial"/>
          <w:b w:val="false"/>
          <w:bCs w:val="false"/>
          <w:i/>
          <w:iCs/>
          <w:color w:val="4A6080"/>
          <w:sz w:val="22"/>
          <w:szCs w:val="22"/>
        </w:rPr>
        <w:t xml:space="preserve">Total possible weighted score: 70 points, normalised to 100 for reporting. The minimum weighted score a professionally acceptable output should achieve is approximately 60/100.</w:t>
      </w:r>
    </w:p>
    <w:p>
      <w:pPr>
        <w:spacing w:after="80" w:before="40" w:line="276"/>
        <w:jc w:val="left"/>
      </w:pPr>
      <w:r>
        <w:rPr>
          <w:rFonts w:ascii="Arial" w:cs="Arial" w:eastAsia="Arial" w:hAnsi="Arial"/>
          <w:b w:val="false"/>
          <w:bCs w:val="false"/>
          <w:i/>
          <w:iCs/>
          <w:color w:val="4A6080"/>
          <w:sz w:val="22"/>
          <w:szCs w:val="22"/>
        </w:rPr>
        <w:t xml:space="preserve">Rubric limitation: The seven dimensions capture analytical quality but do not separately score executive synthesis or narrative clarity across the full output. A future version of this benchmark should add an eighth dimension, Executive Synthesis, defined as the ability to convert the analysis into a concise CFO-level story: what changed, why it changed, why it matters, and what decision is required. The Board Pack Quality dimension (D5) partially addresses this but is limited to the one-pager section.</w:t>
      </w:r>
    </w:p>
    <w:p>
      <w:pPr>
        <w:pStyle w:val="Heading2"/>
        <w:spacing w:after="120" w:before="240"/>
      </w:pPr>
      <w:r>
        <w:rPr>
          <w:rFonts w:ascii="Arial" w:cs="Arial" w:eastAsia="Arial" w:hAnsi="Arial"/>
          <w:b/>
          <w:bCs/>
          <w:color w:val="0F1B2D"/>
          <w:sz w:val="26"/>
          <w:szCs w:val="26"/>
        </w:rPr>
        <w:t xml:space="preserve">2.5 Measurement of Resource Consumption</w:t>
      </w:r>
    </w:p>
    <w:p>
      <w:pPr>
        <w:spacing w:after="80" w:before="120" w:line="276"/>
        <w:jc w:val="left"/>
      </w:pPr>
      <w:r>
        <w:rPr>
          <w:rFonts w:ascii="Arial" w:cs="Arial" w:eastAsia="Arial" w:hAnsi="Arial"/>
          <w:b w:val="false"/>
          <w:bCs w:val="false"/>
          <w:i w:val="false"/>
          <w:iCs w:val="false"/>
          <w:color w:val="000000"/>
          <w:sz w:val="22"/>
          <w:szCs w:val="22"/>
        </w:rPr>
        <w:t xml:space="preserve">Direct token measurement is not available to users on the Claude Pro subscription plan. Resource consumption was therefore tracked through four directional proxies: response time in seconds (measured from prompt submission to completion), session usage percentage (the portion of the five-hour rolling session limit consumed by the run), weekly usage percentage (the portion of the seven-day capacity limit consumed), and word count of the output (measured via external word counter after copy-paste, inclusive of formatting and headers).</w:t>
      </w:r>
    </w:p>
    <w:p>
      <w:pPr>
        <w:pBdr>
          <w:left w:val="single" w:color="C9A84C" w:sz="12" w:space="8"/>
        </w:pBdr>
        <w:spacing w:after="120" w:before="120" w:line="276"/>
        <w:ind w:left="720" w:right="720"/>
      </w:pPr>
      <w:r>
        <w:rPr>
          <w:rFonts w:ascii="Arial" w:cs="Arial" w:eastAsia="Arial" w:hAnsi="Arial"/>
          <w:i/>
          <w:iCs/>
          <w:color w:val="4A6080"/>
          <w:sz w:val="22"/>
          <w:szCs w:val="22"/>
        </w:rPr>
        <w:t xml:space="preserve">Important disclosure: session and weekly usage percentages are directional indicators only. They are not equivalent to token counts, cannot be precisely decomposed per run across a shared session window, and should not be treated as absolute cost measures. They are reported here as relative effort indicators to enable cross-condition comparison within this study.</w:t>
      </w:r>
    </w:p>
    <w:p>
      <w:r>
        <w:br w:type="page"/>
      </w:r>
    </w:p>
    <w:p>
      <w:pPr>
        <w:pStyle w:val="Heading1"/>
        <w:pBdr>
          <w:bottom w:val="single" w:color="0F1B2D" w:sz="6" w:space="4"/>
        </w:pBdr>
        <w:spacing w:after="160" w:before="320"/>
      </w:pPr>
      <w:r>
        <w:rPr>
          <w:rFonts w:ascii="Arial" w:cs="Arial" w:eastAsia="Arial" w:hAnsi="Arial"/>
          <w:b/>
          <w:bCs/>
          <w:color w:val="0F1B2D"/>
          <w:sz w:val="32"/>
          <w:szCs w:val="32"/>
        </w:rPr>
        <w:t xml:space="preserve">3. Results</w:t>
      </w:r>
    </w:p>
    <w:p>
      <w:pPr>
        <w:pStyle w:val="Heading2"/>
        <w:spacing w:after="120" w:before="240"/>
      </w:pPr>
      <w:r>
        <w:rPr>
          <w:rFonts w:ascii="Arial" w:cs="Arial" w:eastAsia="Arial" w:hAnsi="Arial"/>
          <w:b/>
          <w:bCs/>
          <w:color w:val="0F1B2D"/>
          <w:sz w:val="26"/>
          <w:szCs w:val="26"/>
        </w:rPr>
        <w:t xml:space="preserve">3.1 Overall Scores</w:t>
      </w:r>
    </w:p>
    <w:p>
      <w:pPr>
        <w:spacing w:after="80" w:before="120" w:line="276"/>
        <w:jc w:val="left"/>
      </w:pPr>
      <w:r>
        <w:rPr>
          <w:rFonts w:ascii="Arial" w:cs="Arial" w:eastAsia="Arial" w:hAnsi="Arial"/>
          <w:b w:val="false"/>
          <w:bCs w:val="false"/>
          <w:i w:val="false"/>
          <w:iCs w:val="false"/>
          <w:color w:val="000000"/>
          <w:sz w:val="22"/>
          <w:szCs w:val="22"/>
        </w:rPr>
        <w:t xml:space="preserve">Table 1 presents the total weighted scores and resource consumption metrics for all five conditions.</w:t>
      </w:r>
    </w:p>
    <w:p>
      <w:pPr>
        <w:spacing w:after="40" w:before="80"/>
      </w:pPr>
      <w:r>
        <w:rPr>
          <w:rFonts w:ascii="Arial" w:cs="Arial" w:eastAsia="Arial" w:hAnsi="Arial"/>
          <w:b/>
          <w:bCs/>
          <w:i/>
          <w:iCs/>
          <w:color w:val="4A6080"/>
          <w:sz w:val="20"/>
          <w:szCs w:val="20"/>
        </w:rPr>
        <w:t xml:space="preserve">Table 1, Overall Results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200"/>
        <w:gridCol w:w="1200"/>
        <w:gridCol w:w="1100"/>
        <w:gridCol w:w="1260"/>
      </w:tblGrid>
      <w:tr>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Condition</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Score</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Time</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Session%</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Weekly%</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Words</w:t>
            </w:r>
          </w:p>
        </w:tc>
      </w:tr>
      <w:tr>
        <w:tc>
          <w:tcPr>
            <w:tcW w:type="dxa" w:w="2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20"/>
                <w:szCs w:val="20"/>
              </w:rPr>
              <w:t xml:space="preserve">Opus 4.8 / High</w:t>
            </w:r>
          </w:p>
        </w:tc>
        <w:tc>
          <w:tcPr>
            <w:tcW w:type="dxa" w:w="14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74/100</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652s</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49%</w:t>
            </w:r>
          </w:p>
        </w:tc>
        <w:tc>
          <w:tcPr>
            <w:tcW w:type="dxa" w:w="11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4,628</w:t>
            </w:r>
          </w:p>
        </w:tc>
      </w:tr>
      <w:tr>
        <w:tc>
          <w:tcPr>
            <w:tcW w:type="dxa" w:w="2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bCs/>
                <w:color w:val="0F1B2D"/>
                <w:sz w:val="20"/>
                <w:szCs w:val="20"/>
              </w:rPr>
              <w:t xml:space="preserve">Opus 4.8 / Low</w:t>
            </w:r>
          </w:p>
        </w:tc>
        <w:tc>
          <w:tcPr>
            <w:tcW w:type="dxa" w:w="1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70/100</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821s</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41%</w:t>
            </w:r>
          </w:p>
        </w:tc>
        <w:tc>
          <w:tcPr>
            <w:tcW w:type="dxa" w:w="1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4%</w:t>
            </w:r>
          </w:p>
        </w:tc>
        <w:tc>
          <w:tcPr>
            <w:tcW w:type="dxa" w:w="12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3,738</w:t>
            </w:r>
          </w:p>
        </w:tc>
      </w:tr>
      <w:tr>
        <w:tc>
          <w:tcPr>
            <w:tcW w:type="dxa" w:w="2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20"/>
                <w:szCs w:val="20"/>
              </w:rPr>
              <w:t xml:space="preserve">Sonnet 4.6 / High</w:t>
            </w:r>
          </w:p>
        </w:tc>
        <w:tc>
          <w:tcPr>
            <w:tcW w:type="dxa" w:w="14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74/100</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803s</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27%</w:t>
            </w:r>
          </w:p>
        </w:tc>
        <w:tc>
          <w:tcPr>
            <w:tcW w:type="dxa" w:w="11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w:t>
            </w:r>
          </w:p>
        </w:tc>
        <w:tc>
          <w:tcPr>
            <w:tcW w:type="dxa" w:w="12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3,681</w:t>
            </w:r>
          </w:p>
        </w:tc>
      </w:tr>
      <w:tr>
        <w:tc>
          <w:tcPr>
            <w:tcW w:type="dxa" w:w="2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bCs/>
                <w:color w:val="0F1B2D"/>
                <w:sz w:val="20"/>
                <w:szCs w:val="20"/>
              </w:rPr>
              <w:t xml:space="preserve">Sonnet 4.6 / Medium</w:t>
            </w:r>
          </w:p>
        </w:tc>
        <w:tc>
          <w:tcPr>
            <w:tcW w:type="dxa" w:w="1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8B1A1A"/>
                <w:sz w:val="20"/>
                <w:szCs w:val="20"/>
              </w:rPr>
              <w:t xml:space="preserve">67/100</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443s</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18%</w:t>
            </w:r>
          </w:p>
        </w:tc>
        <w:tc>
          <w:tcPr>
            <w:tcW w:type="dxa" w:w="11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w:t>
            </w:r>
          </w:p>
        </w:tc>
        <w:tc>
          <w:tcPr>
            <w:tcW w:type="dxa" w:w="12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2,943</w:t>
            </w:r>
          </w:p>
        </w:tc>
      </w:tr>
      <w:tr>
        <w:tc>
          <w:tcPr>
            <w:tcW w:type="dxa" w:w="2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20"/>
                <w:szCs w:val="20"/>
              </w:rPr>
              <w:t xml:space="preserve">Sonnet 4.6 / Low</w:t>
            </w:r>
          </w:p>
        </w:tc>
        <w:tc>
          <w:tcPr>
            <w:tcW w:type="dxa" w:w="14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8B1A1A"/>
                <w:sz w:val="20"/>
                <w:szCs w:val="20"/>
              </w:rPr>
              <w:t xml:space="preserve">66/100</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286s</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17%</w:t>
            </w:r>
          </w:p>
        </w:tc>
        <w:tc>
          <w:tcPr>
            <w:tcW w:type="dxa" w:w="11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w:t>
            </w:r>
          </w:p>
        </w:tc>
        <w:tc>
          <w:tcPr>
            <w:tcW w:type="dxa" w:w="12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2,156</w:t>
            </w:r>
          </w:p>
        </w:tc>
      </w:tr>
    </w:tbl>
    <w:p>
      <w:pPr>
        <w:spacing w:after="0" w:before="0" w:line="240"/>
      </w:pPr>
      <w:r>
        <w:rPr>
          <w:rFonts w:ascii="Arial" w:cs="Arial" w:eastAsia="Arial" w:hAnsi="Arial"/>
          <w:sz w:val="22"/>
          <w:szCs w:val="22"/>
        </w:rPr>
        <w:t xml:space="preserve"/>
      </w:r>
    </w:p>
    <w:p>
      <w:pPr>
        <w:spacing w:after="80" w:before="80" w:line="276"/>
        <w:jc w:val="left"/>
      </w:pPr>
      <w:r>
        <w:rPr>
          <w:rFonts w:ascii="Arial" w:cs="Arial" w:eastAsia="Arial" w:hAnsi="Arial"/>
          <w:b w:val="false"/>
          <w:bCs w:val="false"/>
          <w:i w:val="false"/>
          <w:iCs w:val="false"/>
          <w:color w:val="000000"/>
          <w:sz w:val="22"/>
          <w:szCs w:val="22"/>
        </w:rPr>
        <w:t xml:space="preserve">The most notable finding is the tie between Opus 4.8 High and Sonnet 4.6 High at 74/100. Despite identical total scores, Sonnet 4.6 High consumed 27% of the observed session limit versus 49% for Opus 4.8 High, a directional signal of meaningfully lower resource consumption. Because direct token counts were unavailable, this should not be interpreted as a precise cost ratio.</w:t>
      </w:r>
    </w:p>
    <w:p>
      <w:pPr>
        <w:spacing w:after="120" w:before="80" w:line="276"/>
        <w:jc w:val="left"/>
      </w:pPr>
      <w:r>
        <w:rPr>
          <w:rFonts w:ascii="Arial" w:cs="Arial" w:eastAsia="Arial" w:hAnsi="Arial"/>
          <w:b w:val="false"/>
          <w:bCs w:val="false"/>
          <w:i w:val="false"/>
          <w:iCs w:val="false"/>
          <w:color w:val="000000"/>
          <w:sz w:val="22"/>
          <w:szCs w:val="22"/>
        </w:rPr>
        <w:t xml:space="preserve">Within the Sonnet 4.6 family, the progression from High to Medium to Low shows a modest quality decline (74, 67, 66) while resource consumption drops substantially (27%, 18%, 17%). The negligible difference between Medium and Low on both quality and session consumption is a finding of practical significance discussed further in Section 4.</w:t>
      </w:r>
    </w:p>
    <w:p>
      <w:pPr>
        <w:pStyle w:val="Heading2"/>
        <w:spacing w:after="120" w:before="240"/>
      </w:pPr>
      <w:r>
        <w:rPr>
          <w:rFonts w:ascii="Arial" w:cs="Arial" w:eastAsia="Arial" w:hAnsi="Arial"/>
          <w:b/>
          <w:bCs/>
          <w:color w:val="0F1B2D"/>
          <w:sz w:val="26"/>
          <w:szCs w:val="26"/>
        </w:rPr>
        <w:t xml:space="preserve">3.2 Dimension-Level Breakdown</w:t>
      </w:r>
    </w:p>
    <w:p>
      <w:pPr>
        <w:spacing w:after="80" w:before="120" w:line="276"/>
        <w:jc w:val="left"/>
      </w:pPr>
      <w:r>
        <w:rPr>
          <w:rFonts w:ascii="Arial" w:cs="Arial" w:eastAsia="Arial" w:hAnsi="Arial"/>
          <w:b w:val="false"/>
          <w:bCs w:val="false"/>
          <w:i w:val="false"/>
          <w:iCs w:val="false"/>
          <w:color w:val="000000"/>
          <w:sz w:val="22"/>
          <w:szCs w:val="22"/>
        </w:rPr>
        <w:t xml:space="preserve">Table 2 presents scores by dimension for all five conditions.</w:t>
      </w:r>
    </w:p>
    <w:p>
      <w:pPr>
        <w:spacing w:after="40" w:before="80"/>
      </w:pPr>
      <w:r>
        <w:rPr>
          <w:rFonts w:ascii="Arial" w:cs="Arial" w:eastAsia="Arial" w:hAnsi="Arial"/>
          <w:b/>
          <w:bCs/>
          <w:i/>
          <w:iCs/>
          <w:color w:val="4A6080"/>
          <w:sz w:val="20"/>
          <w:szCs w:val="20"/>
        </w:rPr>
        <w:t xml:space="preserve">Table 2, Dimension Scores by Condition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200"/>
        <w:gridCol w:w="1200"/>
        <w:gridCol w:w="1280"/>
        <w:gridCol w:w="1240"/>
        <w:gridCol w:w="1240"/>
      </w:tblGrid>
      <w:tr>
        <w:tc>
          <w:tcPr>
            <w:tcW w:type="dxa" w:w="20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7"/>
                <w:szCs w:val="17"/>
              </w:rPr>
              <w:t xml:space="preserve">Condition</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7"/>
                <w:szCs w:val="17"/>
              </w:rPr>
              <w:t xml:space="preserve">D1
Complete.</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7"/>
                <w:szCs w:val="17"/>
              </w:rPr>
              <w:t xml:space="preserve">D2
Classif.</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7"/>
                <w:szCs w:val="17"/>
              </w:rPr>
              <w:t xml:space="preserve">D3
Causal</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7"/>
                <w:szCs w:val="17"/>
              </w:rPr>
              <w:t xml:space="preserve">D4
Red Flag</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7"/>
                <w:szCs w:val="17"/>
              </w:rPr>
              <w:t xml:space="preserve">D5
Board Pack</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7"/>
                <w:szCs w:val="17"/>
              </w:rPr>
              <w:t xml:space="preserve">D6
Accuracy</w:t>
            </w:r>
          </w:p>
        </w:tc>
        <w:tc>
          <w:tcPr>
            <w:tcW w:type="dxa" w:w="15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7"/>
                <w:szCs w:val="17"/>
              </w:rPr>
              <w:t xml:space="preserve">D7
Action.</w:t>
            </w:r>
          </w:p>
        </w:tc>
      </w:tr>
      <w:tr>
        <w:tc>
          <w:tcPr>
            <w:tcW w:type="dxa" w:w="200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left"/>
            </w:pPr>
            <w:r>
              <w:rPr>
                <w:rFonts w:ascii="Arial" w:cs="Arial" w:eastAsia="Arial" w:hAnsi="Arial"/>
                <w:b/>
                <w:bCs/>
                <w:color w:val="000000"/>
                <w:sz w:val="17"/>
                <w:szCs w:val="17"/>
              </w:rPr>
              <w:t xml:space="preserve">Weight</w:t>
            </w:r>
          </w:p>
        </w:tc>
        <w:tc>
          <w:tcPr>
            <w:tcW w:type="dxa" w:w="120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center"/>
            </w:pPr>
            <w:r>
              <w:rPr>
                <w:rFonts w:ascii="Arial" w:cs="Arial" w:eastAsia="Arial" w:hAnsi="Arial"/>
                <w:b/>
                <w:bCs/>
                <w:color w:val="000000"/>
                <w:sz w:val="17"/>
                <w:szCs w:val="17"/>
              </w:rPr>
              <w:t xml:space="preserve">×2</w:t>
            </w:r>
          </w:p>
        </w:tc>
        <w:tc>
          <w:tcPr>
            <w:tcW w:type="dxa" w:w="120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center"/>
            </w:pPr>
            <w:r>
              <w:rPr>
                <w:rFonts w:ascii="Arial" w:cs="Arial" w:eastAsia="Arial" w:hAnsi="Arial"/>
                <w:b/>
                <w:bCs/>
                <w:color w:val="000000"/>
                <w:sz w:val="17"/>
                <w:szCs w:val="17"/>
              </w:rPr>
              <w:t xml:space="preserve">×2</w:t>
            </w:r>
          </w:p>
        </w:tc>
        <w:tc>
          <w:tcPr>
            <w:tcW w:type="dxa" w:w="120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center"/>
            </w:pPr>
            <w:r>
              <w:rPr>
                <w:rFonts w:ascii="Arial" w:cs="Arial" w:eastAsia="Arial" w:hAnsi="Arial"/>
                <w:b/>
                <w:bCs/>
                <w:color w:val="000000"/>
                <w:sz w:val="17"/>
                <w:szCs w:val="17"/>
              </w:rPr>
              <w:t xml:space="preserve">×3</w:t>
            </w:r>
          </w:p>
        </w:tc>
        <w:tc>
          <w:tcPr>
            <w:tcW w:type="dxa" w:w="128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center"/>
            </w:pPr>
            <w:r>
              <w:rPr>
                <w:rFonts w:ascii="Arial" w:cs="Arial" w:eastAsia="Arial" w:hAnsi="Arial"/>
                <w:b/>
                <w:bCs/>
                <w:color w:val="000000"/>
                <w:sz w:val="17"/>
                <w:szCs w:val="17"/>
              </w:rPr>
              <w:t xml:space="preserve">×2</w:t>
            </w:r>
          </w:p>
        </w:tc>
        <w:tc>
          <w:tcPr>
            <w:tcW w:type="dxa" w:w="124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center"/>
            </w:pPr>
            <w:r>
              <w:rPr>
                <w:rFonts w:ascii="Arial" w:cs="Arial" w:eastAsia="Arial" w:hAnsi="Arial"/>
                <w:b/>
                <w:bCs/>
                <w:color w:val="000000"/>
                <w:sz w:val="17"/>
                <w:szCs w:val="17"/>
              </w:rPr>
              <w:t xml:space="preserve">×2</w:t>
            </w:r>
          </w:p>
        </w:tc>
        <w:tc>
          <w:tcPr>
            <w:tcW w:type="dxa" w:w="124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center"/>
            </w:pPr>
            <w:r>
              <w:rPr>
                <w:rFonts w:ascii="Arial" w:cs="Arial" w:eastAsia="Arial" w:hAnsi="Arial"/>
                <w:b/>
                <w:bCs/>
                <w:color w:val="000000"/>
                <w:sz w:val="17"/>
                <w:szCs w:val="17"/>
              </w:rPr>
              <w:t xml:space="preserve">×2</w:t>
            </w:r>
          </w:p>
        </w:tc>
        <w:tc>
          <w:tcPr>
            <w:tcW w:type="dxa" w:w="1560"/>
            <w:tcBorders>
              <w:top w:val="single" w:color="CBD5E1" w:sz="1"/>
              <w:left w:val="single" w:color="CBD5E1" w:sz="1"/>
              <w:bottom w:val="single" w:color="CBD5E1" w:sz="1"/>
              <w:right w:val="single" w:color="CBD5E1" w:sz="1"/>
            </w:tcBorders>
            <w:shd w:fill="CADCFC" w:val="clear"/>
            <w:tcMar>
              <w:top w:type="dxa" w:w="80"/>
              <w:left w:type="dxa" w:w="120"/>
              <w:bottom w:type="dxa" w:w="80"/>
              <w:right w:type="dxa" w:w="120"/>
            </w:tcMar>
          </w:tcPr>
          <w:p>
            <w:pPr>
              <w:jc w:val="center"/>
            </w:pPr>
            <w:r>
              <w:rPr>
                <w:rFonts w:ascii="Arial" w:cs="Arial" w:eastAsia="Arial" w:hAnsi="Arial"/>
                <w:b/>
                <w:bCs/>
                <w:color w:val="000000"/>
                <w:sz w:val="17"/>
                <w:szCs w:val="17"/>
              </w:rPr>
              <w:t xml:space="preserve">×1</w:t>
            </w:r>
          </w:p>
        </w:tc>
      </w:tr>
      <w:tr>
        <w:tc>
          <w:tcPr>
            <w:tcW w:type="dxa" w:w="20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19"/>
                <w:szCs w:val="19"/>
              </w:rPr>
              <w:t xml:space="preserve">Opus 4.8 / High</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4</w:t>
            </w:r>
          </w:p>
        </w:tc>
        <w:tc>
          <w:tcPr>
            <w:tcW w:type="dxa" w:w="128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4</w:t>
            </w:r>
          </w:p>
        </w:tc>
        <w:tc>
          <w:tcPr>
            <w:tcW w:type="dxa" w:w="124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4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5</w:t>
            </w:r>
          </w:p>
        </w:tc>
        <w:tc>
          <w:tcPr>
            <w:tcW w:type="dxa" w:w="15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4</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bCs/>
                <w:color w:val="0F1B2D"/>
                <w:sz w:val="19"/>
                <w:szCs w:val="19"/>
              </w:rPr>
              <w:t xml:space="preserve">Opus 4.8 / Low</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4</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5</w:t>
            </w:r>
          </w:p>
        </w:tc>
        <w:tc>
          <w:tcPr>
            <w:tcW w:type="dxa" w:w="1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4</w:t>
            </w:r>
          </w:p>
        </w:tc>
      </w:tr>
      <w:tr>
        <w:tc>
          <w:tcPr>
            <w:tcW w:type="dxa" w:w="20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19"/>
                <w:szCs w:val="19"/>
              </w:rPr>
              <w:t xml:space="preserve">Sonnet 4.6 / High</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4</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8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4</w:t>
            </w:r>
          </w:p>
        </w:tc>
        <w:tc>
          <w:tcPr>
            <w:tcW w:type="dxa" w:w="124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4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5</w:t>
            </w:r>
          </w:p>
        </w:tc>
        <w:tc>
          <w:tcPr>
            <w:tcW w:type="dxa" w:w="15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5</w:t>
            </w:r>
          </w:p>
        </w:tc>
      </w:tr>
      <w:tr>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bCs/>
                <w:color w:val="0F1B2D"/>
                <w:sz w:val="19"/>
                <w:szCs w:val="19"/>
              </w:rPr>
              <w:t xml:space="preserve">Sonnet 4.6 / Medium</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4</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8B1A1A"/>
                <w:sz w:val="20"/>
                <w:szCs w:val="20"/>
              </w:rPr>
              <w:t xml:space="preserve">2</w:t>
            </w:r>
          </w:p>
        </w:tc>
        <w:tc>
          <w:tcPr>
            <w:tcW w:type="dxa" w:w="12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4</w:t>
            </w:r>
          </w:p>
        </w:tc>
        <w:tc>
          <w:tcPr>
            <w:tcW w:type="dxa" w:w="124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5</w:t>
            </w:r>
          </w:p>
        </w:tc>
        <w:tc>
          <w:tcPr>
            <w:tcW w:type="dxa" w:w="1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r>
      <w:tr>
        <w:tc>
          <w:tcPr>
            <w:tcW w:type="dxa" w:w="20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19"/>
                <w:szCs w:val="19"/>
              </w:rPr>
              <w:t xml:space="preserve">Sonnet 4.6 / Low</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4</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8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4</w:t>
            </w:r>
          </w:p>
        </w:tc>
        <w:tc>
          <w:tcPr>
            <w:tcW w:type="dxa" w:w="124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3</w:t>
            </w:r>
          </w:p>
        </w:tc>
        <w:tc>
          <w:tcPr>
            <w:tcW w:type="dxa" w:w="124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8B1A1A"/>
                <w:sz w:val="20"/>
                <w:szCs w:val="20"/>
              </w:rPr>
              <w:t xml:space="preserve">2</w:t>
            </w:r>
          </w:p>
        </w:tc>
        <w:tc>
          <w:tcPr>
            <w:tcW w:type="dxa" w:w="15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1A6B3C"/>
                <w:sz w:val="20"/>
                <w:szCs w:val="20"/>
              </w:rPr>
              <w:t xml:space="preserve">5</w:t>
            </w:r>
          </w:p>
        </w:tc>
      </w:tr>
    </w:tbl>
    <w:p>
      <w:pPr>
        <w:spacing w:after="0" w:before="0" w:line="240"/>
      </w:pPr>
      <w:r>
        <w:rPr>
          <w:rFonts w:ascii="Arial" w:cs="Arial" w:eastAsia="Arial" w:hAnsi="Arial"/>
          <w:sz w:val="22"/>
          <w:szCs w:val="22"/>
        </w:rPr>
        <w:t xml:space="preserve"/>
      </w:r>
    </w:p>
    <w:p>
      <w:pPr>
        <w:pStyle w:val="Heading3"/>
        <w:spacing w:after="80" w:before="180"/>
      </w:pPr>
      <w:r>
        <w:rPr>
          <w:rFonts w:ascii="Arial" w:cs="Arial" w:eastAsia="Arial" w:hAnsi="Arial"/>
          <w:b/>
          <w:bCs/>
          <w:color w:val="4A6080"/>
          <w:sz w:val="24"/>
          <w:szCs w:val="24"/>
        </w:rPr>
        <w:t xml:space="preserve">D1, Output Completeness</w:t>
      </w:r>
    </w:p>
    <w:p>
      <w:pPr>
        <w:spacing w:after="80" w:before="80" w:line="276"/>
        <w:jc w:val="left"/>
      </w:pPr>
      <w:r>
        <w:rPr>
          <w:rFonts w:ascii="Arial" w:cs="Arial" w:eastAsia="Arial" w:hAnsi="Arial"/>
          <w:b w:val="false"/>
          <w:bCs w:val="false"/>
          <w:i w:val="false"/>
          <w:iCs w:val="false"/>
          <w:color w:val="000000"/>
          <w:sz w:val="22"/>
          <w:szCs w:val="22"/>
        </w:rPr>
        <w:t xml:space="preserve">Output completeness was broadly adequate across conditions. Interestingly, Sonnet 4.6 Low and Medium scored 4 on this dimension, higher than any Opus condition, suggesting that at lower effort levels, Sonnet defaults to more predictable structural coverage. Opus conditions scored 3, indicating occasional section merging or omission.</w:t>
      </w:r>
    </w:p>
    <w:p>
      <w:pPr>
        <w:pStyle w:val="Heading3"/>
        <w:spacing w:after="80" w:before="180"/>
      </w:pPr>
      <w:r>
        <w:rPr>
          <w:rFonts w:ascii="Arial" w:cs="Arial" w:eastAsia="Arial" w:hAnsi="Arial"/>
          <w:b/>
          <w:bCs/>
          <w:color w:val="4A6080"/>
          <w:sz w:val="24"/>
          <w:szCs w:val="24"/>
        </w:rPr>
        <w:t xml:space="preserve">D2, Variance Classification</w:t>
      </w:r>
    </w:p>
    <w:p>
      <w:pPr>
        <w:spacing w:after="80" w:before="80" w:line="276"/>
        <w:jc w:val="left"/>
      </w:pPr>
      <w:r>
        <w:rPr>
          <w:rFonts w:ascii="Arial" w:cs="Arial" w:eastAsia="Arial" w:hAnsi="Arial"/>
          <w:b w:val="false"/>
          <w:bCs w:val="false"/>
          <w:i w:val="false"/>
          <w:iCs w:val="false"/>
          <w:color w:val="000000"/>
          <w:sz w:val="22"/>
          <w:szCs w:val="22"/>
        </w:rPr>
        <w:t xml:space="preserve">Variance classification produced the clearest quality difference between the two models at their highest effort levels. Opus 4.8 Low and Sonnet 4.6 High scored 4, correctly applying OT/T/R/S/U labels with appropriate logic. Opus 4.8 High and Sonnet 4.6 Low and Medium scored 3, indicating partial but incomplete classification. No condition achieved a score of 5 on this dimension.</w:t>
      </w:r>
    </w:p>
    <w:p>
      <w:pPr>
        <w:pStyle w:val="Heading3"/>
        <w:spacing w:after="80" w:before="180"/>
      </w:pPr>
      <w:r>
        <w:rPr>
          <w:rFonts w:ascii="Arial" w:cs="Arial" w:eastAsia="Arial" w:hAnsi="Arial"/>
          <w:b/>
          <w:bCs/>
          <w:color w:val="4A6080"/>
          <w:sz w:val="24"/>
          <w:szCs w:val="24"/>
        </w:rPr>
        <w:t xml:space="preserve">D3, Causal Commentary</w:t>
      </w:r>
    </w:p>
    <w:p>
      <w:pPr>
        <w:spacing w:after="80" w:before="80" w:line="276"/>
        <w:jc w:val="left"/>
      </w:pPr>
      <w:r>
        <w:rPr>
          <w:rFonts w:ascii="Arial" w:cs="Arial" w:eastAsia="Arial" w:hAnsi="Arial"/>
          <w:b w:val="false"/>
          <w:bCs w:val="false"/>
          <w:i w:val="false"/>
          <w:iCs w:val="false"/>
          <w:color w:val="000000"/>
          <w:sz w:val="22"/>
          <w:szCs w:val="22"/>
        </w:rPr>
        <w:t xml:space="preserve">Causal commentary is the highest-weighted dimension (×3) and produced the most meaningful differentiation. Opus 4.8 High was the only condition to score 4, meaning it was the only output that consistently explained WHY results occurred by naming specific drivers such as copper cost pressure, the deferred order timing, and the new hire salary load. Sonnet 4.6 Medium scored 2, the lowest score in the dataset, indicating descriptive commentary without causal attribution. All other conditions scored 3.</w:t>
      </w:r>
    </w:p>
    <w:p>
      <w:pPr>
        <w:pBdr>
          <w:left w:val="single" w:color="C9A84C" w:sz="12" w:space="8"/>
        </w:pBdr>
        <w:spacing w:after="120" w:before="120" w:line="276"/>
        <w:ind w:left="720" w:right="720"/>
      </w:pPr>
      <w:r>
        <w:rPr>
          <w:rFonts w:ascii="Arial" w:cs="Arial" w:eastAsia="Arial" w:hAnsi="Arial"/>
          <w:i/>
          <w:iCs/>
          <w:color w:val="4A6080"/>
          <w:sz w:val="22"/>
          <w:szCs w:val="22"/>
        </w:rPr>
        <w:t xml:space="preserve">Opus 4.8 High's advantage on D3 is the primary dimension-level differentiator in this study. It is also the dimension with the highest practical value in a real FP&amp;A context, as causal attribution is what enables management action.</w:t>
      </w:r>
    </w:p>
    <w:p>
      <w:pPr>
        <w:pStyle w:val="Heading3"/>
        <w:spacing w:after="80" w:before="180"/>
      </w:pPr>
      <w:r>
        <w:rPr>
          <w:rFonts w:ascii="Arial" w:cs="Arial" w:eastAsia="Arial" w:hAnsi="Arial"/>
          <w:b/>
          <w:bCs/>
          <w:color w:val="4A6080"/>
          <w:sz w:val="24"/>
          <w:szCs w:val="24"/>
        </w:rPr>
        <w:t xml:space="preserve">D4, Red Flag Detection</w:t>
      </w:r>
    </w:p>
    <w:p>
      <w:pPr>
        <w:spacing w:after="80" w:before="80" w:line="276"/>
        <w:jc w:val="left"/>
      </w:pPr>
      <w:r>
        <w:rPr>
          <w:rFonts w:ascii="Arial" w:cs="Arial" w:eastAsia="Arial" w:hAnsi="Arial"/>
          <w:b w:val="false"/>
          <w:bCs w:val="false"/>
          <w:i w:val="false"/>
          <w:iCs w:val="false"/>
          <w:color w:val="000000"/>
          <w:sz w:val="22"/>
          <w:szCs w:val="22"/>
        </w:rPr>
        <w:t xml:space="preserve">Red flag detection was relatively strong across conditions. Opus 4.8 High, Sonnet 4.6 High, and Sonnet 4.6 Low all scored 4, correctly identifying the cash runway proximity to threshold, the severe EBITDA shortfall, and the GP margin compression. Opus 4.8 Low and Sonnet 4.6 Medium scored 3, missing at least one material flag or failing to escalate with appropriate urgency.</w:t>
      </w:r>
    </w:p>
    <w:p>
      <w:pPr>
        <w:pStyle w:val="Heading3"/>
        <w:spacing w:after="80" w:before="180"/>
      </w:pPr>
      <w:r>
        <w:rPr>
          <w:rFonts w:ascii="Arial" w:cs="Arial" w:eastAsia="Arial" w:hAnsi="Arial"/>
          <w:b/>
          <w:bCs/>
          <w:color w:val="4A6080"/>
          <w:sz w:val="24"/>
          <w:szCs w:val="24"/>
        </w:rPr>
        <w:t xml:space="preserve">D5, Board Pack Quality</w:t>
      </w:r>
    </w:p>
    <w:p>
      <w:pPr>
        <w:spacing w:after="80" w:before="80" w:line="276"/>
        <w:jc w:val="left"/>
      </w:pPr>
      <w:r>
        <w:rPr>
          <w:rFonts w:ascii="Arial" w:cs="Arial" w:eastAsia="Arial" w:hAnsi="Arial"/>
          <w:b w:val="false"/>
          <w:bCs w:val="false"/>
          <w:i w:val="false"/>
          <w:iCs w:val="false"/>
          <w:color w:val="000000"/>
          <w:sz w:val="22"/>
          <w:szCs w:val="22"/>
        </w:rPr>
        <w:t xml:space="preserve">Board Pack Quality was the most uniformly weak dimension across the entire study. Four of five conditions scored 3; Sonnet 4.6 Medium scored 4, the single exception. No condition produced a one-pager that a CFO could present to a board without material editing. Common weaknesses included analytical rather than executive tone, incomplete full-year outlook scenarios, and board questions that restated the problem rather than providing prepared answers.</w:t>
      </w:r>
    </w:p>
    <w:p>
      <w:pPr>
        <w:pBdr>
          <w:left w:val="single" w:color="C9A84C" w:sz="12" w:space="8"/>
        </w:pBdr>
        <w:spacing w:after="120" w:before="120" w:line="276"/>
        <w:ind w:left="720" w:right="720"/>
      </w:pPr>
      <w:r>
        <w:rPr>
          <w:rFonts w:ascii="Arial" w:cs="Arial" w:eastAsia="Arial" w:hAnsi="Arial"/>
          <w:i/>
          <w:iCs/>
          <w:color w:val="4A6080"/>
          <w:sz w:val="22"/>
          <w:szCs w:val="22"/>
        </w:rPr>
        <w:t xml:space="preserve">The uniform weakness on D5 across all conditions regardless of model version or effort level suggests that board pack quality is not primarily a function of model capability. It may require dedicated prompt engineering, a specialised system prompt, or multi-step generation rather than being addressable through model selection alone.</w:t>
      </w:r>
    </w:p>
    <w:p>
      <w:pPr>
        <w:pStyle w:val="Heading3"/>
        <w:spacing w:after="80" w:before="180"/>
      </w:pPr>
      <w:r>
        <w:rPr>
          <w:rFonts w:ascii="Arial" w:cs="Arial" w:eastAsia="Arial" w:hAnsi="Arial"/>
          <w:b/>
          <w:bCs/>
          <w:color w:val="4A6080"/>
          <w:sz w:val="24"/>
          <w:szCs w:val="24"/>
        </w:rPr>
        <w:t xml:space="preserve">D6, Numerical Accuracy</w:t>
      </w:r>
    </w:p>
    <w:p>
      <w:pPr>
        <w:spacing w:after="80" w:before="80" w:line="276"/>
        <w:jc w:val="left"/>
      </w:pPr>
      <w:r>
        <w:rPr>
          <w:rFonts w:ascii="Arial" w:cs="Arial" w:eastAsia="Arial" w:hAnsi="Arial"/>
          <w:b w:val="false"/>
          <w:bCs w:val="false"/>
          <w:i w:val="false"/>
          <w:iCs w:val="false"/>
          <w:color w:val="000000"/>
          <w:sz w:val="22"/>
          <w:szCs w:val="22"/>
        </w:rPr>
        <w:t xml:space="preserve">Numerical accuracy was the strongest dimension overall, with four of five conditions scoring 5. The exception was Sonnet 4.6 Low, which scored 2, the single most alarming finding in the study. Material numerical errors included incorrect variance calculations and traffic lights applied to wrong thresholds. This is not a minor presentational gap; in a professional finance context, a practitioner acting on incorrect figures without independent verification could make decisions with real financial consequences. The failure is particularly deceptive because Sonnet 4.6 Low scored well on output completeness (4) and actionability (5), producing a polished, confident-looking output that contained incorrect numbers. This combination, high presentational quality with low numerical accuracy, represents the highest-risk profile in the dataset. A finance professional reviewing this output casually could miss the errors entirely.</w:t>
      </w:r>
    </w:p>
    <w:p>
      <w:pPr>
        <w:pStyle w:val="Heading3"/>
        <w:spacing w:after="80" w:before="180"/>
      </w:pPr>
      <w:r>
        <w:rPr>
          <w:rFonts w:ascii="Arial" w:cs="Arial" w:eastAsia="Arial" w:hAnsi="Arial"/>
          <w:b/>
          <w:bCs/>
          <w:color w:val="4A6080"/>
          <w:sz w:val="24"/>
          <w:szCs w:val="24"/>
        </w:rPr>
        <w:t xml:space="preserve">D7, Actionability</w:t>
      </w:r>
    </w:p>
    <w:p>
      <w:pPr>
        <w:spacing w:after="120" w:before="80" w:line="276"/>
        <w:jc w:val="left"/>
      </w:pPr>
      <w:r>
        <w:rPr>
          <w:rFonts w:ascii="Arial" w:cs="Arial" w:eastAsia="Arial" w:hAnsi="Arial"/>
          <w:b w:val="false"/>
          <w:bCs w:val="false"/>
          <w:i w:val="false"/>
          <w:iCs w:val="false"/>
          <w:color w:val="000000"/>
          <w:sz w:val="22"/>
          <w:szCs w:val="22"/>
        </w:rPr>
        <w:t xml:space="preserve">Actionability showed an unexpected pattern: Sonnet 4.6 conditions scored equal to or higher than Opus 4.8 conditions, with both Sonnet 4.6 High and Low scoring 5. This suggests that Sonnet's more structured, clear output style translates well to concrete action recommendations, even when its analytical depth is lower.</w:t>
      </w:r>
    </w:p>
    <w:p>
      <w:pPr>
        <w:pStyle w:val="Heading2"/>
        <w:spacing w:after="120" w:before="240"/>
      </w:pPr>
      <w:r>
        <w:rPr>
          <w:rFonts w:ascii="Arial" w:cs="Arial" w:eastAsia="Arial" w:hAnsi="Arial"/>
          <w:b/>
          <w:bCs/>
          <w:color w:val="0F1B2D"/>
          <w:sz w:val="26"/>
          <w:szCs w:val="26"/>
        </w:rPr>
        <w:t xml:space="preserve">3.3 Resource Consumption Patterns</w:t>
      </w:r>
    </w:p>
    <w:p>
      <w:pPr>
        <w:spacing w:after="80" w:before="120" w:line="276"/>
        <w:jc w:val="left"/>
      </w:pPr>
      <w:r>
        <w:rPr>
          <w:rFonts w:ascii="Arial" w:cs="Arial" w:eastAsia="Arial" w:hAnsi="Arial"/>
          <w:b w:val="false"/>
          <w:bCs w:val="false"/>
          <w:i w:val="false"/>
          <w:iCs w:val="false"/>
          <w:color w:val="000000"/>
          <w:sz w:val="22"/>
          <w:szCs w:val="22"/>
        </w:rPr>
        <w:t xml:space="preserve">Response time showed no clear relationship with effort level or model version. Opus 4.8 Low took longer than Opus 4.8 High (821s vs 652s), counter to the expectation that higher effort requires more processing time. This may reflect server load variability or the non-linear relationship between effort settings and processing behaviour. Sonnet 4.6 showed a more intuitive pattern with response time declining from High to Medium to Low (803s, 443s, 286s).</w:t>
      </w:r>
    </w:p>
    <w:p>
      <w:pPr>
        <w:spacing w:after="120" w:before="80" w:line="276"/>
        <w:jc w:val="left"/>
      </w:pPr>
      <w:r>
        <w:rPr>
          <w:rFonts w:ascii="Arial" w:cs="Arial" w:eastAsia="Arial" w:hAnsi="Arial"/>
          <w:b w:val="false"/>
          <w:bCs w:val="false"/>
          <w:i w:val="false"/>
          <w:iCs w:val="false"/>
          <w:color w:val="000000"/>
          <w:sz w:val="22"/>
          <w:szCs w:val="22"/>
        </w:rPr>
        <w:t xml:space="preserve">Session consumption showed a consistent directional pattern: Opus 4.8 consumed more observed session capacity than Sonnet 4.6 at comparable effort levels, though without direct token counts this cannot be expressed as a precise ratio. Word count broadly correlated with quality score, with higher-scoring conditions generally producing longer outputs, though Sonnet 4.6 Medium’s 2,943 words at 67/100 compares unfavourably with Sonnet 4.6 High’s 3,681 words at 74/100.</w:t>
      </w:r>
    </w:p>
    <w:p>
      <w:r>
        <w:br w:type="page"/>
      </w:r>
    </w:p>
    <w:p>
      <w:pPr>
        <w:pStyle w:val="Heading1"/>
        <w:pBdr>
          <w:bottom w:val="single" w:color="0F1B2D" w:sz="6" w:space="4"/>
        </w:pBdr>
        <w:spacing w:after="160" w:before="320"/>
      </w:pPr>
      <w:r>
        <w:rPr>
          <w:rFonts w:ascii="Arial" w:cs="Arial" w:eastAsia="Arial" w:hAnsi="Arial"/>
          <w:b/>
          <w:bCs/>
          <w:color w:val="0F1B2D"/>
          <w:sz w:val="32"/>
          <w:szCs w:val="32"/>
        </w:rPr>
        <w:t xml:space="preserve">4. Analysis and Interpretation</w:t>
      </w:r>
    </w:p>
    <w:p>
      <w:pPr>
        <w:pStyle w:val="Heading2"/>
        <w:spacing w:after="120" w:before="240"/>
      </w:pPr>
      <w:r>
        <w:rPr>
          <w:rFonts w:ascii="Arial" w:cs="Arial" w:eastAsia="Arial" w:hAnsi="Arial"/>
          <w:b/>
          <w:bCs/>
          <w:color w:val="0F1B2D"/>
          <w:sz w:val="26"/>
          <w:szCs w:val="26"/>
        </w:rPr>
        <w:t xml:space="preserve">4.1 The Efficiency Finding: Sonnet 4.6 High</w:t>
      </w:r>
    </w:p>
    <w:p>
      <w:pPr>
        <w:spacing w:after="80" w:before="120" w:line="276"/>
        <w:jc w:val="left"/>
      </w:pPr>
      <w:r>
        <w:rPr>
          <w:rFonts w:ascii="Arial" w:cs="Arial" w:eastAsia="Arial" w:hAnsi="Arial"/>
          <w:b w:val="false"/>
          <w:bCs w:val="false"/>
          <w:i w:val="false"/>
          <w:iCs w:val="false"/>
          <w:color w:val="000000"/>
          <w:sz w:val="22"/>
          <w:szCs w:val="22"/>
        </w:rPr>
        <w:t xml:space="preserve">The most actionable finding for practitioners is the quality-per-resource relationship between Opus 4.8 High and Sonnet 4.6 High. Equal total scores (74/100), with Sonnet 4.6 High consuming materially less observed session capacity, suggest that Sonnet 4.6 at High effort is the more resource-efficient choice for this task. This is a directional finding; without direct token counts it cannot be expressed as a precise cost ratio.</w:t>
      </w:r>
    </w:p>
    <w:p>
      <w:pPr>
        <w:spacing w:after="120" w:before="80" w:line="276"/>
        <w:jc w:val="left"/>
      </w:pPr>
      <w:r>
        <w:rPr>
          <w:rFonts w:ascii="Arial" w:cs="Arial" w:eastAsia="Arial" w:hAnsi="Arial"/>
          <w:b w:val="false"/>
          <w:bCs w:val="false"/>
          <w:i w:val="false"/>
          <w:iCs w:val="false"/>
          <w:color w:val="000000"/>
          <w:sz w:val="22"/>
          <w:szCs w:val="22"/>
        </w:rPr>
        <w:t xml:space="preserve">This finding should be interpreted with care. The tie in total score masks a meaningful qualitative difference: Opus 4.8 High produced deeper causal commentary (D3 score of 4 vs 3) while Sonnet 4.6 High produced stronger actionability (D7 score of 5 vs 4). The choice between them therefore depends on what the practitioner values most. For outputs where root-cause analysis will be presented to management and challenged, Opus 4.8 High’s analytical depth may justify its higher observed session consumption. For routine reporting where structural completeness and concrete actions matter more than deep causal attribution, Sonnet 4.6 High is the more resource-efficient choice.</w:t>
      </w:r>
    </w:p>
    <w:p>
      <w:pPr>
        <w:pStyle w:val="Heading2"/>
        <w:spacing w:after="120" w:before="240"/>
      </w:pPr>
      <w:r>
        <w:rPr>
          <w:rFonts w:ascii="Arial" w:cs="Arial" w:eastAsia="Arial" w:hAnsi="Arial"/>
          <w:b/>
          <w:bCs/>
          <w:color w:val="0F1B2D"/>
          <w:sz w:val="26"/>
          <w:szCs w:val="26"/>
        </w:rPr>
        <w:t xml:space="preserve">4.2 The Effort Level Diminishing Returns Finding</w:t>
      </w:r>
    </w:p>
    <w:p>
      <w:pPr>
        <w:spacing w:after="80" w:before="120" w:line="276"/>
        <w:jc w:val="left"/>
      </w:pPr>
      <w:r>
        <w:rPr>
          <w:rFonts w:ascii="Arial" w:cs="Arial" w:eastAsia="Arial" w:hAnsi="Arial"/>
          <w:b w:val="false"/>
          <w:bCs w:val="false"/>
          <w:i w:val="false"/>
          <w:iCs w:val="false"/>
          <w:color w:val="000000"/>
          <w:sz w:val="22"/>
          <w:szCs w:val="22"/>
        </w:rPr>
        <w:t xml:space="preserve">Within Sonnet 4.6, the Medium effort setting produced a score of 67/100, below Sonnet 4.6 High (74) and only marginally above Sonnet 4.6 Low (66). The session consumption for Medium (18%) was comparable to Low (17%) but substantially below High (27%). This creates a counterintuitive picture: the Medium setting delivered neither the quality of High nor meaningfully lower resource consumption than Low.</w:t>
      </w:r>
    </w:p>
    <w:p>
      <w:pPr>
        <w:spacing w:after="120" w:before="80" w:line="276"/>
        <w:jc w:val="left"/>
      </w:pPr>
      <w:r>
        <w:rPr>
          <w:rFonts w:ascii="Arial" w:cs="Arial" w:eastAsia="Arial" w:hAnsi="Arial"/>
          <w:b w:val="false"/>
          <w:bCs w:val="false"/>
          <w:i w:val="false"/>
          <w:iCs w:val="false"/>
          <w:color w:val="000000"/>
          <w:sz w:val="22"/>
          <w:szCs w:val="22"/>
        </w:rPr>
        <w:t xml:space="preserve">The author's qualitative observation supports this: Sonnet 4.6 Medium was described as very clear and straightforward but missing a lot of explanations and results, and scored as roughly equal to Sonnet Low. Within the Sonnet 4.6 family, Medium effort was the least informative setting in this experiment: it did not approach High quality and did not materially reduce observed resource use versus Low. This finding applies specifically to Sonnet 4.6 on this task type; the Opus 4.8 Medium condition was not run and no generalisation about Medium effort across all models should be drawn from this data.</w:t>
      </w:r>
    </w:p>
    <w:p>
      <w:pPr>
        <w:pStyle w:val="Heading2"/>
        <w:spacing w:after="120" w:before="240"/>
      </w:pPr>
      <w:r>
        <w:rPr>
          <w:rFonts w:ascii="Arial" w:cs="Arial" w:eastAsia="Arial" w:hAnsi="Arial"/>
          <w:b/>
          <w:bCs/>
          <w:color w:val="0F1B2D"/>
          <w:sz w:val="26"/>
          <w:szCs w:val="26"/>
        </w:rPr>
        <w:t xml:space="preserve">4.3 Style Differences and Illustrative Output Examples</w:t>
      </w:r>
    </w:p>
    <w:p>
      <w:pPr>
        <w:spacing w:after="60" w:before="120" w:line="276"/>
        <w:jc w:val="left"/>
      </w:pPr>
      <w:r>
        <w:rPr>
          <w:rFonts w:ascii="Arial" w:cs="Arial" w:eastAsia="Arial" w:hAnsi="Arial"/>
          <w:b w:val="false"/>
          <w:bCs w:val="false"/>
          <w:i w:val="false"/>
          <w:iCs w:val="false"/>
          <w:color w:val="000000"/>
          <w:sz w:val="22"/>
          <w:szCs w:val="22"/>
        </w:rPr>
        <w:t xml:space="preserve">The quantitative rubric captures analytical quality but does not capture a material qualitative difference observed across conditions: Opus 4.8 outputs tended toward verbal depth with extensive explanatory prose, while Sonnet 4.6 outputs tended toward visual structure with cleaner tables and more prominent data display.</w:t>
      </w:r>
    </w:p>
    <w:p>
      <w:pPr>
        <w:spacing w:after="60" w:before="40" w:line="276"/>
        <w:jc w:val="left"/>
      </w:pPr>
      <w:r>
        <w:rPr>
          <w:rFonts w:ascii="Arial" w:cs="Arial" w:eastAsia="Arial" w:hAnsi="Arial"/>
          <w:b w:val="false"/>
          <w:bCs w:val="false"/>
          <w:i/>
          <w:iCs/>
          <w:color w:val="4A6080"/>
          <w:sz w:val="22"/>
          <w:szCs w:val="22"/>
        </w:rPr>
        <w:t xml:space="preserve">The following examples are paraphrased from the actual model outputs and are representative of the qualitative character of each condition.</w:t>
      </w:r>
    </w:p>
    <w:p>
      <w:pPr>
        <w:spacing w:after="20" w:before="40" w:line="276"/>
        <w:ind w:left="720"/>
        <w:jc w:val="left"/>
      </w:pPr>
      <w:r>
        <w:rPr>
          <w:rFonts w:ascii="Arial" w:cs="Arial" w:eastAsia="Arial" w:hAnsi="Arial"/>
          <w:b w:val="false"/>
          <w:bCs w:val="false"/>
          <w:i w:val="false"/>
          <w:iCs w:val="false"/>
          <w:color w:val="0F1B2D"/>
          <w:sz w:val="22"/>
          <w:szCs w:val="22"/>
        </w:rPr>
        <w:t xml:space="preserve">Opus 4.8 High, on the GP margin shortfall: The gross profit margin contracted from the budgeted 35.0% to 26.9%, a compression of 8.1 percentage points. The primary driver was the 12% increase in copper input costs since January, which was not offset by pricing adjustments and flowed directly into COGS. This structural cost shift will persist for the remainder of the year unless contract pricing is renegotiated or a hedging position is established. The delayed orders, classified as Timing with expected Q3 recovery totalling $475K, contributed to the revenue shortfall but did not directly drive the margin compression. These are separate problems requiring separate responses.</w:t>
      </w:r>
    </w:p>
    <w:p>
      <w:pPr>
        <w:spacing w:after="40" w:before="0" w:line="276"/>
        <w:ind w:left="720"/>
        <w:jc w:val="left"/>
      </w:pPr>
      <w:r>
        <w:rPr>
          <w:rFonts w:ascii="Arial" w:cs="Arial" w:eastAsia="Arial" w:hAnsi="Arial"/>
          <w:b w:val="false"/>
          <w:bCs w:val="false"/>
          <w:i/>
          <w:iCs/>
          <w:color w:val="1A6B3C"/>
          <w:sz w:val="22"/>
          <w:szCs w:val="22"/>
        </w:rPr>
        <w:t xml:space="preserve">[D3 score of 4: copper is named, the mechanism is traced, the reversal period is specified, and the two problems are analytically separated.]</w:t>
      </w:r>
    </w:p>
    <w:p>
      <w:pPr>
        <w:spacing w:after="20" w:before="40" w:line="276"/>
        <w:ind w:left="720"/>
        <w:jc w:val="left"/>
      </w:pPr>
      <w:r>
        <w:rPr>
          <w:rFonts w:ascii="Arial" w:cs="Arial" w:eastAsia="Arial" w:hAnsi="Arial"/>
          <w:b w:val="false"/>
          <w:bCs w:val="false"/>
          <w:i w:val="false"/>
          <w:iCs w:val="false"/>
          <w:color w:val="0F1B2D"/>
          <w:sz w:val="22"/>
          <w:szCs w:val="22"/>
        </w:rPr>
        <w:t xml:space="preserve">Sonnet 4.6 High, on the same issue: GP margin came in at 26.9% versus the budgeted 35.0%. Recommended action: initiate a pricing review for all open quotes and new contracts to reflect current copper input costs.</w:t>
      </w:r>
    </w:p>
    <w:p>
      <w:pPr>
        <w:spacing w:after="40" w:before="0" w:line="276"/>
        <w:ind w:left="720"/>
        <w:jc w:val="left"/>
      </w:pPr>
      <w:r>
        <w:rPr>
          <w:rFonts w:ascii="Arial" w:cs="Arial" w:eastAsia="Arial" w:hAnsi="Arial"/>
          <w:b w:val="false"/>
          <w:bCs w:val="false"/>
          <w:i/>
          <w:iCs/>
          <w:color w:val="4A6080"/>
          <w:sz w:val="22"/>
          <w:szCs w:val="22"/>
        </w:rPr>
        <w:t xml:space="preserve">[D3 score of 3: the margin drop is identified, the action is concrete, but the causal chain from copper costs to margin is not traced explicitly.]</w:t>
      </w:r>
    </w:p>
    <w:p>
      <w:pPr>
        <w:spacing w:after="20" w:before="40" w:line="276"/>
        <w:ind w:left="720"/>
        <w:jc w:val="left"/>
      </w:pPr>
      <w:r>
        <w:rPr>
          <w:rFonts w:ascii="Arial" w:cs="Arial" w:eastAsia="Arial" w:hAnsi="Arial"/>
          <w:b w:val="false"/>
          <w:bCs w:val="false"/>
          <w:i w:val="false"/>
          <w:iCs w:val="false"/>
          <w:color w:val="8B1A1A"/>
          <w:sz w:val="22"/>
          <w:szCs w:val="22"/>
        </w:rPr>
        <w:t xml:space="preserve">Sonnet 4.6 Low, on numerical figures: Gross profit was $1,054K, representing a margin of 29.8% versus the budgeted 35.0%.</w:t>
      </w:r>
    </w:p>
    <w:p>
      <w:pPr>
        <w:spacing w:after="80" w:before="0" w:line="276"/>
        <w:ind w:left="720"/>
        <w:jc w:val="left"/>
      </w:pPr>
      <w:r>
        <w:rPr>
          <w:rFonts w:ascii="Arial" w:cs="Arial" w:eastAsia="Arial" w:hAnsi="Arial"/>
          <w:b w:val="false"/>
          <w:bCs w:val="false"/>
          <w:i/>
          <w:iCs/>
          <w:color w:val="8B1A1A"/>
          <w:sz w:val="22"/>
          <w:szCs w:val="22"/>
        </w:rPr>
        <w:t xml:space="preserve">[D6 score of 2: the gross profit figure is materially wrong. The correct figure from the GL data is $952K at a margin of 26.9%. The error would not be detected by a reader relying on the output without independent verification.]</w:t>
      </w:r>
    </w:p>
    <w:p>
      <w:pPr>
        <w:pStyle w:val="Heading2"/>
        <w:spacing w:after="120" w:before="240"/>
      </w:pPr>
      <w:r>
        <w:rPr>
          <w:rFonts w:ascii="Arial" w:cs="Arial" w:eastAsia="Arial" w:hAnsi="Arial"/>
          <w:b/>
          <w:bCs/>
          <w:color w:val="0F1B2D"/>
          <w:sz w:val="26"/>
          <w:szCs w:val="26"/>
        </w:rPr>
        <w:t xml:space="preserve">4.4 The Board Pack Problem</w:t>
      </w:r>
    </w:p>
    <w:p>
      <w:pPr>
        <w:spacing w:after="80" w:before="120" w:line="276"/>
        <w:jc w:val="left"/>
      </w:pPr>
      <w:r>
        <w:rPr>
          <w:rFonts w:ascii="Arial" w:cs="Arial" w:eastAsia="Arial" w:hAnsi="Arial"/>
          <w:b w:val="false"/>
          <w:bCs w:val="false"/>
          <w:i w:val="false"/>
          <w:iCs w:val="false"/>
          <w:color w:val="000000"/>
          <w:sz w:val="22"/>
          <w:szCs w:val="22"/>
        </w:rPr>
        <w:t xml:space="preserve">The uniform score of 3 or below on D5 across all conditions is the most practically significant negative finding. No model, at any effort level, produced a board pack one-pager that a CFO could use without editing. This is not a finding about model capability in general; it is a finding about the sufficiency of a single-prompt approach for a task that, in professional practice, is typically produced through iteration, feedback, and editorial judgment.</w:t>
      </w:r>
    </w:p>
    <w:p>
      <w:pPr>
        <w:spacing w:after="120" w:before="80" w:line="276"/>
        <w:jc w:val="left"/>
      </w:pPr>
      <w:r>
        <w:rPr>
          <w:rFonts w:ascii="Arial" w:cs="Arial" w:eastAsia="Arial" w:hAnsi="Arial"/>
          <w:b w:val="false"/>
          <w:bCs w:val="false"/>
          <w:i w:val="false"/>
          <w:iCs w:val="false"/>
          <w:color w:val="000000"/>
          <w:sz w:val="22"/>
          <w:szCs w:val="22"/>
        </w:rPr>
        <w:t xml:space="preserve">The board-pack weakness should not be interpreted as proof that the models cannot support board communication. Rather, it shows that board-ready communication is unlikely to emerge from a single broad monthly-close prompt. It requires a dedicated prompt, a narrower audience definition, explicit board-level questions, and human editorial judgment. The implication is that practitioners should treat board pack production as a separate workflow step, not an automatic output of the monthly close process.</w:t>
      </w:r>
    </w:p>
    <w:p>
      <w:pPr>
        <w:pStyle w:val="Heading2"/>
        <w:spacing w:after="120" w:before="240"/>
      </w:pPr>
      <w:r>
        <w:rPr>
          <w:rFonts w:ascii="Arial" w:cs="Arial" w:eastAsia="Arial" w:hAnsi="Arial"/>
          <w:b/>
          <w:bCs/>
          <w:color w:val="0F1B2D"/>
          <w:sz w:val="26"/>
          <w:szCs w:val="26"/>
        </w:rPr>
        <w:t xml:space="preserve">4.5 A Practical Division of Labour: Sonnet for Presentation, Opus for Root Cause</w:t>
      </w:r>
    </w:p>
    <w:p>
      <w:pPr>
        <w:spacing w:after="80" w:before="120" w:line="276"/>
        <w:jc w:val="left"/>
      </w:pPr>
      <w:r>
        <w:rPr>
          <w:rFonts w:ascii="Arial" w:cs="Arial" w:eastAsia="Arial" w:hAnsi="Arial"/>
          <w:b w:val="false"/>
          <w:bCs w:val="false"/>
          <w:i w:val="false"/>
          <w:iCs w:val="false"/>
          <w:color w:val="000000"/>
          <w:sz w:val="22"/>
          <w:szCs w:val="22"/>
        </w:rPr>
        <w:t xml:space="preserve">One of the most practically actionable conclusions from this study is the characterisation of each model's relative strength, not in absolute terms, but as a guide for how FP&amp;A professionals should deploy them in their workflow. Sonnet 4.6 consistently produced cleaner structural outputs: better organised tables, clearer section delineation, and more concrete action recommendations. Opus 4.8 consistently produced deeper analytical reasoning, with stronger causal attribution linking specific drivers to observed variances.</w:t>
      </w:r>
    </w:p>
    <w:p>
      <w:pPr>
        <w:spacing w:after="80" w:before="80" w:line="276"/>
        <w:jc w:val="left"/>
      </w:pPr>
      <w:r>
        <w:rPr>
          <w:rFonts w:ascii="Arial" w:cs="Arial" w:eastAsia="Arial" w:hAnsi="Arial"/>
          <w:b w:val="false"/>
          <w:bCs w:val="false"/>
          <w:i w:val="false"/>
          <w:iCs w:val="false"/>
          <w:color w:val="000000"/>
          <w:sz w:val="22"/>
          <w:szCs w:val="22"/>
        </w:rPr>
        <w:t xml:space="preserve">Critically, neither model can be fully trusted to produce a complete, professional-grade monthly close package without human review. Sonnet 4.6 Low's numerical accuracy failure (D6 score of 2) demonstrates that errors can hide behind structurally polished output. Opus 4.8's board pack weakness (D5 score of 3 across both conditions) demonstrates that analytical depth does not automatically translate to executive-ready communication.</w:t>
      </w:r>
    </w:p>
    <w:p>
      <w:pPr>
        <w:spacing w:after="80" w:before="80" w:line="276"/>
        <w:jc w:val="left"/>
      </w:pPr>
      <w:r>
        <w:rPr>
          <w:rFonts w:ascii="Arial" w:cs="Arial" w:eastAsia="Arial" w:hAnsi="Arial"/>
          <w:b w:val="false"/>
          <w:bCs w:val="false"/>
          <w:i w:val="false"/>
          <w:iCs w:val="false"/>
          <w:color w:val="000000"/>
          <w:sz w:val="22"/>
          <w:szCs w:val="22"/>
        </w:rPr>
        <w:t xml:space="preserve">A practical workflow recommendation emerges from these findings. For the majority of routine FP&amp;A reporting work, where structural clarity, traffic light ratings, and actionable recommendations are the primary deliverables, Sonnet 4.6 High is the appropriate starting point. The FP&amp;A professional then adds root cause commentary in their own voice, drawing on their operational knowledge of the business. Where a more rigorous diagnostic analysis is required, for example, explaining a significant budget variance to a CFO, or investigating a trend that requires causal attribution before management action, Opus 4.8 High provides the analytical depth to support that conversation.</w:t>
      </w:r>
    </w:p>
    <w:p>
      <w:pPr>
        <w:pBdr>
          <w:left w:val="single" w:color="C9A84C" w:sz="12" w:space="8"/>
        </w:pBdr>
        <w:spacing w:after="120" w:before="120" w:line="276"/>
        <w:ind w:left="720" w:right="720"/>
      </w:pPr>
      <w:r>
        <w:rPr>
          <w:rFonts w:ascii="Arial" w:cs="Arial" w:eastAsia="Arial" w:hAnsi="Arial"/>
          <w:i/>
          <w:iCs/>
          <w:color w:val="4A6080"/>
          <w:sz w:val="22"/>
          <w:szCs w:val="22"/>
        </w:rPr>
        <w:t xml:space="preserve">The human remains the essential layer in either workflow. Sonnet produces the structure; the analyst provides the cause. Opus produces the cause; the analyst refines the communication. This is the central practical lesson of this study: neither model eliminates the need for professional judgment, but each reduces a different type of analytical burden. The FP&amp;A professional who understands this distinction will get more value from both models than one who treats either as a complete solution.</w:t>
      </w:r>
    </w:p>
    <w:p>
      <w:pPr>
        <w:pStyle w:val="Heading1"/>
        <w:pBdr>
          <w:bottom w:val="single" w:color="0F1B2D" w:sz="6" w:space="4"/>
        </w:pBdr>
        <w:spacing w:after="160" w:before="320"/>
      </w:pPr>
      <w:r>
        <w:rPr>
          <w:rFonts w:ascii="Arial" w:cs="Arial" w:eastAsia="Arial" w:hAnsi="Arial"/>
          <w:b/>
          <w:bCs/>
          <w:color w:val="0F1B2D"/>
          <w:sz w:val="32"/>
          <w:szCs w:val="32"/>
        </w:rPr>
        <w:t xml:space="preserve">5. Limitations and Disclosures</w:t>
      </w:r>
    </w:p>
    <w:p>
      <w:pPr>
        <w:spacing w:after="80" w:before="120" w:line="276"/>
        <w:jc w:val="left"/>
      </w:pPr>
      <w:r>
        <w:rPr>
          <w:rFonts w:ascii="Arial" w:cs="Arial" w:eastAsia="Arial" w:hAnsi="Arial"/>
          <w:b w:val="false"/>
          <w:bCs w:val="false"/>
          <w:i w:val="false"/>
          <w:iCs w:val="false"/>
          <w:color w:val="000000"/>
          <w:sz w:val="22"/>
          <w:szCs w:val="22"/>
        </w:rPr>
        <w:t xml:space="preserve">This study has several limitations that readers should weigh when interpreting and generalising its findings.</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Single evaluator. All scoring was conducted by the author. No inter-rater reliability check was performed. The author's professional judgment as an FP&amp;A practitioner provides domain-appropriate evaluation but introduces subjectivity. Scoring rationale was documented during evaluation to support transparency.</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Single task. The study evaluates one task type, a CFO monthly close package for a manufacturing company. Findings may not generalise to other FP&amp;A tasks such as long-range planning, pricing analysis, or M&amp;A due diligence, or to other domains entirely.</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Single dataset. The Meridian Manufacturing dataset was designed by the author. A different dataset with different embedded challenges might produce different relative scores across dimensions.</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No token measurement. Resource consumption was measured through directional proxies (session %, weekly %, response time, word count) rather than direct token counts, which are unavailable on the Claude Pro plan. Cost comparisons should be treated as indicative rather than precise.</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Output variability. Claude models do not produce deterministic outputs. A single run per condition means findings reflect one instantiation of each model-effort combination. A second run of Sonnet 4.6 Low at a different time produced a different word count, suggesting non-trivial output variability. Findings should be treated as directional rather than definitive.</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Incomplete factorial design. The Opus 4.8 Medium condition was not run. Findings about the effort level diminishing returns pattern apply to Sonnet 4.6 only and cannot be generalised to Opus 4.8 without the missing data point.</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Single evaluator who designed the experiment. The author both designed the dataset and rubric and scored all outputs. This dual role introduces a structural conflict: the evaluator's prior knowledge of the embedded analytical challenges may have influenced scoring, consciously or otherwise. Future replications should separate the roles of experiment designer and evaluator, or engage an independent FP&amp;A professional to score outputs against the rubric without prior knowledge of the dataset's design. This is considered the most significant methodological limitation of the study.</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No blind scoring. The author knew which model and effort level produced each output during scoring. Blind scoring by a third party would eliminate potential confirmation bias and strengthen the credibility of dimension-level score differences.</w:t>
      </w:r>
    </w:p>
    <w:p>
      <w:pPr>
        <w:spacing w:after="0" w:before="0" w:line="240"/>
      </w:pPr>
      <w:r>
        <w:rPr>
          <w:rFonts w:ascii="Arial" w:cs="Arial" w:eastAsia="Arial" w:hAnsi="Arial"/>
          <w:sz w:val="22"/>
          <w:szCs w:val="22"/>
        </w:rPr>
        <w:t xml:space="preserve"/>
      </w:r>
    </w:p>
    <w:p>
      <w:r>
        <w:br w:type="page"/>
      </w:r>
    </w:p>
    <w:p>
      <w:pPr>
        <w:pStyle w:val="Heading1"/>
        <w:pBdr>
          <w:bottom w:val="single" w:color="0F1B2D" w:sz="6" w:space="4"/>
        </w:pBdr>
        <w:spacing w:after="160" w:before="320"/>
      </w:pPr>
      <w:r>
        <w:rPr>
          <w:rFonts w:ascii="Arial" w:cs="Arial" w:eastAsia="Arial" w:hAnsi="Arial"/>
          <w:b/>
          <w:bCs/>
          <w:color w:val="0F1B2D"/>
          <w:sz w:val="32"/>
          <w:szCs w:val="32"/>
        </w:rPr>
        <w:t xml:space="preserve">6. Future Research Directions</w:t>
      </w:r>
    </w:p>
    <w:p>
      <w:pPr>
        <w:spacing w:after="80" w:before="120" w:line="276"/>
        <w:jc w:val="left"/>
      </w:pPr>
      <w:r>
        <w:rPr>
          <w:rFonts w:ascii="Arial" w:cs="Arial" w:eastAsia="Arial" w:hAnsi="Arial"/>
          <w:b w:val="false"/>
          <w:bCs w:val="false"/>
          <w:i w:val="false"/>
          <w:iCs w:val="false"/>
          <w:color w:val="000000"/>
          <w:sz w:val="22"/>
          <w:szCs w:val="22"/>
        </w:rPr>
        <w:t xml:space="preserve">This study raises several questions that future research could productively address.</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Independent external evaluation. The most important methodological improvement for a follow-up study is to separate the experiment designer from the evaluator. An independent FP&amp;A professional, provided with the rubric and answer key but no knowledge of how the dataset was constructed, would produce scores with higher credibility and enable inter-rater reliability measurement. A future study engaging two or three independent evaluators and reporting Krippendorff's alpha or Cohen's kappa would substantially strengthen the findings.</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Prompt-engineered skill vs raw model. This study deliberately tested raw model capability without any system prompt or custom skill, to isolate model and effort level as the variables of interest. A natural follow-up experiment would test the same task with a fully elaborated CFO monthly close skill, a detailed system prompt encoding the complete analytical framework, output structure, variance classification logic, red flag thresholds, and communication standards. The research question becomes: how much of the quality gap between conditions is attributable to the model, and how much to the presence or absence of a well-engineered skill prompt? The author has developed such a skill in a separate project, making this comparison directly feasible.</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Multi-task evaluation. This study evaluates a single task type, a CFO monthly close package for a manufacturing company. FP&amp;A encompasses a broad range of task types: long-range planning, scenario analysis, pricing strategy, M&amp;A financial due diligence, and board presentation development. Each may produce a different model-effort performance profile. A multi-task benchmark across these dimensions would provide a more complete basis for model selection guidance.</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Longitudinal stability. Claude models are updated continuously. A study design that re-runs the same conditions on the same dataset at quarterly intervals would reveal whether quality profiles shift with model updates, and whether findings from this study remain valid over time.</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Cost measurement via API. The most significant measurement limitation of this study is the absence of direct token counts. Running the same five conditions via the Anthropic API with identical prompts and dataset would produce exact token consumption and cost per run, enabling a precise quality-per-dollar analysis rather than the directional session percentage proxy used here.</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Executive Synthesis as an eighth rubric dimension. The current rubric does not separately score the ability to convert analysis into a concise CFO-level narrative: what changed, why it changed, why it matters, and what decision is required. Adding this dimension would distinguish analytical correctness from CFO-level communication quality and would likely show stronger differentiation between conditions than the current Board Pack Quality dimension alone captures.</w:t>
      </w:r>
    </w:p>
    <w:p>
      <w:pPr>
        <w:spacing w:after="0" w:before="0" w:line="240"/>
      </w:pPr>
      <w:r>
        <w:rPr>
          <w:rFonts w:ascii="Arial" w:cs="Arial" w:eastAsia="Arial" w:hAnsi="Arial"/>
          <w:sz w:val="22"/>
          <w:szCs w:val="22"/>
        </w:rPr>
        <w:t xml:space="preserve"/>
      </w:r>
    </w:p>
    <w:p>
      <w:pPr>
        <w:pStyle w:val="Heading1"/>
        <w:pBdr>
          <w:bottom w:val="single" w:color="0F1B2D" w:sz="6" w:space="4"/>
        </w:pBdr>
        <w:spacing w:after="160" w:before="320"/>
      </w:pPr>
      <w:r>
        <w:rPr>
          <w:rFonts w:ascii="Arial" w:cs="Arial" w:eastAsia="Arial" w:hAnsi="Arial"/>
          <w:b/>
          <w:bCs/>
          <w:color w:val="0F1B2D"/>
          <w:sz w:val="32"/>
          <w:szCs w:val="32"/>
        </w:rPr>
        <w:t xml:space="preserve">7. Conclusions and Practitioner Implications</w:t>
      </w:r>
    </w:p>
    <w:p>
      <w:pPr>
        <w:pStyle w:val="Heading2"/>
        <w:spacing w:after="120" w:before="240"/>
      </w:pPr>
      <w:r>
        <w:rPr>
          <w:rFonts w:ascii="Arial" w:cs="Arial" w:eastAsia="Arial" w:hAnsi="Arial"/>
          <w:b/>
          <w:bCs/>
          <w:color w:val="0F1B2D"/>
          <w:sz w:val="26"/>
          <w:szCs w:val="26"/>
        </w:rPr>
        <w:t xml:space="preserve">Practical FP&amp;A Model Selection Guide</w:t>
      </w:r>
    </w:p>
    <w:p>
      <w:pPr>
        <w:spacing w:after="80" w:before="80" w:line="276"/>
        <w:jc w:val="left"/>
      </w:pPr>
      <w:r>
        <w:rPr>
          <w:rFonts w:ascii="Arial" w:cs="Arial" w:eastAsia="Arial" w:hAnsi="Arial"/>
          <w:b w:val="false"/>
          <w:bCs w:val="false"/>
          <w:i w:val="false"/>
          <w:iCs w:val="false"/>
          <w:color w:val="000000"/>
          <w:sz w:val="22"/>
          <w:szCs w:val="22"/>
        </w:rPr>
        <w:t xml:space="preserve">The following table translates the experimental findings into task-level guidance for FP&amp;A practitioners.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2200"/>
        <w:gridCol w:w="2960"/>
      </w:tblGrid>
      <w:tr>
        <w:tc>
          <w:tcPr>
            <w:tcW w:type="dxa" w:w="22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FP&amp;A Task</w:t>
            </w:r>
          </w:p>
        </w:tc>
        <w:tc>
          <w:tcPr>
            <w:tcW w:type="dxa" w:w="20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Recommended Model / Effort</w:t>
            </w:r>
          </w:p>
        </w:tc>
        <w:tc>
          <w:tcPr>
            <w:tcW w:type="dxa" w:w="22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Why</w:t>
            </w:r>
          </w:p>
        </w:tc>
        <w:tc>
          <w:tcPr>
            <w:tcW w:type="dxa" w:w="29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Human Review Required</w:t>
            </w:r>
          </w:p>
        </w:tc>
      </w:tr>
      <w:tr>
        <w:tc>
          <w:tcPr>
            <w:tcW w:type="dxa" w:w="2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18"/>
                <w:szCs w:val="18"/>
              </w:rPr>
              <w:t xml:space="preserve">Routine monthly reporting</w:t>
            </w:r>
          </w:p>
        </w:tc>
        <w:tc>
          <w:tcPr>
            <w:tcW w:type="dxa" w:w="20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Sonnet 4.6 / High</w:t>
            </w:r>
          </w:p>
        </w:tc>
        <w:tc>
          <w:tcPr>
            <w:tcW w:type="dxa" w:w="2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Strong structure, clarity, and actionability; lower observed session consumption in this experiment</w:t>
            </w:r>
          </w:p>
        </w:tc>
        <w:tc>
          <w:tcPr>
            <w:tcW w:type="dxa" w:w="29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Yes, verify numbers and add causal commentary</w:t>
            </w:r>
          </w:p>
        </w:tc>
      </w:tr>
      <w:tr>
        <w:tc>
          <w:tcPr>
            <w:tcW w:type="dxa" w:w="2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bCs/>
                <w:color w:val="0F1B2D"/>
                <w:sz w:val="18"/>
                <w:szCs w:val="18"/>
              </w:rPr>
              <w:t xml:space="preserve">Variance / root-cause investigation</w:t>
            </w:r>
          </w:p>
        </w:tc>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Opus 4.8 / High</w:t>
            </w:r>
          </w:p>
        </w:tc>
        <w:tc>
          <w:tcPr>
            <w:tcW w:type="dxa" w:w="2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Stronger causal commentary and diagnostic depth</w:t>
            </w:r>
          </w:p>
        </w:tc>
        <w:tc>
          <w:tcPr>
            <w:tcW w:type="dxa" w:w="2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Yes, validate drivers against business context</w:t>
            </w:r>
          </w:p>
        </w:tc>
      </w:tr>
      <w:tr>
        <w:tc>
          <w:tcPr>
            <w:tcW w:type="dxa" w:w="2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18"/>
                <w:szCs w:val="18"/>
              </w:rPr>
              <w:t xml:space="preserve">Fast first draft / initial coverage</w:t>
            </w:r>
          </w:p>
        </w:tc>
        <w:tc>
          <w:tcPr>
            <w:tcW w:type="dxa" w:w="20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Sonnet 4.6 / Low</w:t>
            </w:r>
          </w:p>
        </w:tc>
        <w:tc>
          <w:tcPr>
            <w:tcW w:type="dxa" w:w="2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Quick structural output</w:t>
            </w:r>
          </w:p>
        </w:tc>
        <w:tc>
          <w:tcPr>
            <w:tcW w:type="dxa" w:w="29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Heavy numerical verification required before any use</w:t>
            </w:r>
          </w:p>
        </w:tc>
      </w:tr>
      <w:tr>
        <w:tc>
          <w:tcPr>
            <w:tcW w:type="dxa" w:w="2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bCs/>
                <w:color w:val="0F1B2D"/>
                <w:sz w:val="18"/>
                <w:szCs w:val="18"/>
              </w:rPr>
              <w:t xml:space="preserve">Board pack / CFO one-pager</w:t>
            </w:r>
          </w:p>
        </w:tc>
        <w:tc>
          <w:tcPr>
            <w:tcW w:type="dxa" w:w="20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Either model, with a dedicated board-pack prompt</w:t>
            </w:r>
          </w:p>
        </w:tc>
        <w:tc>
          <w:tcPr>
            <w:tcW w:type="dxa" w:w="2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Single-prompt output was not board-ready across any condition</w:t>
            </w:r>
          </w:p>
        </w:tc>
        <w:tc>
          <w:tcPr>
            <w:tcW w:type="dxa" w:w="29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Heavy editorial review required regardless of model</w:t>
            </w:r>
          </w:p>
        </w:tc>
      </w:tr>
      <w:tr>
        <w:tc>
          <w:tcPr>
            <w:tcW w:type="dxa" w:w="2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18"/>
                <w:szCs w:val="18"/>
              </w:rPr>
              <w:t xml:space="preserve">Reforecast implications</w:t>
            </w:r>
          </w:p>
        </w:tc>
        <w:tc>
          <w:tcPr>
            <w:tcW w:type="dxa" w:w="20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Sonnet 4.6 High + analyst judgment</w:t>
            </w:r>
          </w:p>
        </w:tc>
        <w:tc>
          <w:tcPr>
            <w:tcW w:type="dxa" w:w="22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Good structure; business assumptions need professional ownership</w:t>
            </w:r>
          </w:p>
        </w:tc>
        <w:tc>
          <w:tcPr>
            <w:tcW w:type="dxa" w:w="29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Yes, especially assumptions, risks, and full-year sensitivity</w:t>
            </w:r>
          </w:p>
        </w:tc>
      </w:tr>
    </w:tbl>
    <w:p>
      <w:pPr>
        <w:spacing w:after="0" w:before="0" w:line="240"/>
      </w:pPr>
      <w:r>
        <w:rPr>
          <w:rFonts w:ascii="Arial" w:cs="Arial" w:eastAsia="Arial" w:hAnsi="Arial"/>
          <w:sz w:val="22"/>
          <w:szCs w:val="22"/>
        </w:rPr>
        <w:t xml:space="preserve"/>
      </w:r>
    </w:p>
    <w:p>
      <w:pPr>
        <w:spacing w:after="80" w:before="120" w:line="276"/>
        <w:jc w:val="left"/>
      </w:pPr>
      <w:r>
        <w:rPr>
          <w:rFonts w:ascii="Arial" w:cs="Arial" w:eastAsia="Arial" w:hAnsi="Arial"/>
          <w:b w:val="false"/>
          <w:bCs w:val="false"/>
          <w:i w:val="false"/>
          <w:iCs w:val="false"/>
          <w:color w:val="000000"/>
          <w:sz w:val="22"/>
          <w:szCs w:val="22"/>
        </w:rPr>
        <w:t xml:space="preserve">This study set out to answer a practical question: for a complex FP&amp;A task, does a more capable model at higher effort produce meaningfully better output, and if so, at what cost? The answer is nuanced and more instructive at the dimension level than the aggregate score level suggests.</w:t>
      </w:r>
    </w:p>
    <w:p>
      <w:pPr>
        <w:spacing w:after="80" w:before="80" w:line="276"/>
        <w:jc w:val="left"/>
      </w:pPr>
      <w:r>
        <w:rPr>
          <w:rFonts w:ascii="Arial" w:cs="Arial" w:eastAsia="Arial" w:hAnsi="Arial"/>
          <w:b w:val="false"/>
          <w:bCs w:val="false"/>
          <w:i w:val="false"/>
          <w:iCs w:val="false"/>
          <w:color w:val="000000"/>
          <w:sz w:val="22"/>
          <w:szCs w:val="22"/>
        </w:rPr>
        <w:t xml:space="preserve">On total output quality, Opus 4.8 High and Sonnet 4.6 High are equivalent. The difference lies in the character of quality: Opus 4.8 is analytically deeper, Sonnet 4.6 is structurally cleaner and more actionable. Opus 4.8 consumed materially more observed session capacity for equal total quality, though without direct token measurement this cannot be expressed as a precise cost ratio.</w:t>
      </w:r>
    </w:p>
    <w:p>
      <w:pPr>
        <w:spacing w:after="80" w:before="80" w:line="276"/>
        <w:jc w:val="left"/>
      </w:pPr>
      <w:r>
        <w:rPr>
          <w:rFonts w:ascii="Arial" w:cs="Arial" w:eastAsia="Arial" w:hAnsi="Arial"/>
          <w:b w:val="false"/>
          <w:bCs w:val="false"/>
          <w:i w:val="false"/>
          <w:iCs w:val="false"/>
          <w:color w:val="000000"/>
          <w:sz w:val="22"/>
          <w:szCs w:val="22"/>
        </w:rPr>
        <w:t xml:space="preserve">On effort levels, High outperforms Medium and Low meaningfully for Sonnet 4.6. The Medium setting on Sonnet 4.6 offers neither the quality ceiling of High nor material resource savings versus Low, it is the least useful setting for this task type.</w:t>
      </w:r>
    </w:p>
    <w:p>
      <w:pPr>
        <w:spacing w:after="60" w:before="80" w:line="276"/>
        <w:jc w:val="left"/>
      </w:pPr>
      <w:r>
        <w:rPr>
          <w:rFonts w:ascii="Arial" w:cs="Arial" w:eastAsia="Arial" w:hAnsi="Arial"/>
          <w:b w:val="false"/>
          <w:bCs w:val="false"/>
          <w:i w:val="false"/>
          <w:iCs w:val="false"/>
          <w:color w:val="000000"/>
          <w:sz w:val="22"/>
          <w:szCs w:val="22"/>
        </w:rPr>
        <w:t xml:space="preserve">For practitioners, five decision rules emerge from this study:</w:t>
      </w:r>
    </w:p>
    <w:p>
      <w:pPr>
        <w:pStyle w:val="ListParagraph"/>
        <w:numPr>
          <w:ilvl w:val="0"/>
          <w:numId w:val="3"/>
        </w:numPr>
        <w:spacing w:after="60" w:before="60" w:line="276"/>
      </w:pPr>
      <w:r>
        <w:rPr>
          <w:rFonts w:ascii="Arial" w:cs="Arial" w:eastAsia="Arial" w:hAnsi="Arial"/>
          <w:sz w:val="22"/>
          <w:szCs w:val="22"/>
        </w:rPr>
        <w:t xml:space="preserve">Use Sonnet 4.6 High as the default for routine FP&amp;A reporting. It matched Opus 4.8 total quality while consuming materially less observed session capacity in this experiment, and its structural clarity and actionability are better suited to standard reporting workflows.</w:t>
      </w:r>
    </w:p>
    <w:p>
      <w:pPr>
        <w:pStyle w:val="ListParagraph"/>
        <w:numPr>
          <w:ilvl w:val="0"/>
          <w:numId w:val="3"/>
        </w:numPr>
        <w:spacing w:after="60" w:before="60" w:line="276"/>
      </w:pPr>
      <w:r>
        <w:rPr>
          <w:rFonts w:ascii="Arial" w:cs="Arial" w:eastAsia="Arial" w:hAnsi="Arial"/>
          <w:sz w:val="22"/>
          <w:szCs w:val="22"/>
        </w:rPr>
        <w:t xml:space="preserve">Use Sonnet 4.6 High as a structural foundation and add root cause commentary yourself. Sonnet produces the presentation; the analyst provides the causal depth. This hybrid approach combines the model's structural efficiency with the practitioner's operational knowledge.</w:t>
      </w:r>
    </w:p>
    <w:p>
      <w:pPr>
        <w:pStyle w:val="ListParagraph"/>
        <w:numPr>
          <w:ilvl w:val="0"/>
          <w:numId w:val="3"/>
        </w:numPr>
        <w:spacing w:after="60" w:before="60" w:line="276"/>
      </w:pPr>
      <w:r>
        <w:rPr>
          <w:rFonts w:ascii="Arial" w:cs="Arial" w:eastAsia="Arial" w:hAnsi="Arial"/>
          <w:sz w:val="22"/>
          <w:szCs w:val="22"/>
        </w:rPr>
        <w:t xml:space="preserve">Upgrade to Opus 4.8 High when root-cause depth is the primary deliverable, for example, explaining a significant variance to a CFO, or diagnosing a structural trend before recommending a management action.</w:t>
      </w:r>
    </w:p>
    <w:p>
      <w:pPr>
        <w:pStyle w:val="ListParagraph"/>
        <w:numPr>
          <w:ilvl w:val="0"/>
          <w:numId w:val="3"/>
        </w:numPr>
        <w:spacing w:after="60" w:before="60" w:line="276"/>
      </w:pPr>
      <w:r>
        <w:rPr>
          <w:rFonts w:ascii="Arial" w:cs="Arial" w:eastAsia="Arial" w:hAnsi="Arial"/>
          <w:sz w:val="22"/>
          <w:szCs w:val="22"/>
        </w:rPr>
        <w:t xml:space="preserve">Never use AI-generated financial analysis without numerical verification. Sonnet 4.6 Low's D6 score of 2 demonstrates that structurally polished output can contain material errors. Independent verification of all calculated figures is non-negotiable before professional use.</w:t>
      </w:r>
    </w:p>
    <w:p>
      <w:pPr>
        <w:pStyle w:val="ListParagraph"/>
        <w:numPr>
          <w:ilvl w:val="0"/>
          <w:numId w:val="3"/>
        </w:numPr>
        <w:spacing w:after="80" w:before="60" w:line="276"/>
      </w:pPr>
      <w:r>
        <w:rPr>
          <w:rFonts w:ascii="Arial" w:cs="Arial" w:eastAsia="Arial" w:hAnsi="Arial"/>
          <w:sz w:val="22"/>
          <w:szCs w:val="22"/>
        </w:rPr>
        <w:t xml:space="preserve">Treat effort level as a risk-control setting, not just a convenience setting. High effort should not be treated as a cosmetic adjustment or a simple speed trade-off; in this experiment, it materially changed output reliability. The difference between Sonnet 4.6 High and Low on numerical accuracy was not marginal; it was the difference between a professionally reliable output and one with material errors.</w:t>
      </w:r>
    </w:p>
    <w:p>
      <w:pPr>
        <w:spacing w:after="0" w:before="0" w:line="240"/>
      </w:pPr>
      <w:r>
        <w:rPr>
          <w:rFonts w:ascii="Arial" w:cs="Arial" w:eastAsia="Arial" w:hAnsi="Arial"/>
          <w:sz w:val="22"/>
          <w:szCs w:val="22"/>
        </w:rPr>
        <w:t xml:space="preserve"/>
      </w:r>
    </w:p>
    <w:p>
      <w:pPr>
        <w:spacing w:after="80" w:before="80" w:line="276"/>
        <w:jc w:val="left"/>
      </w:pPr>
      <w:r>
        <w:rPr>
          <w:rFonts w:ascii="Arial" w:cs="Arial" w:eastAsia="Arial" w:hAnsi="Arial"/>
          <w:b w:val="false"/>
          <w:bCs w:val="false"/>
          <w:i w:val="false"/>
          <w:iCs w:val="false"/>
          <w:color w:val="000000"/>
          <w:sz w:val="22"/>
          <w:szCs w:val="22"/>
        </w:rPr>
        <w:t xml:space="preserve">A broader observation: the effort level selector is a risk-control mechanism as much as a quality dial, and should not be treated as a cosmetic convenience setting. The difference between Sonnet 4.6 High and Low on numerical accuracy, a score of 5 versus 2, was not a marginal refinement; it was the difference between a professionally reliable output and one with material errors. In a finance context, that gap has real consequences for any decision made downstream.</w:t>
      </w:r>
    </w:p>
    <w:p>
      <w:pPr>
        <w:pBdr>
          <w:left w:val="single" w:color="C9A84C" w:sz="12" w:space="8"/>
        </w:pBdr>
        <w:spacing w:after="120" w:before="120" w:line="276"/>
        <w:ind w:left="720" w:right="720"/>
      </w:pPr>
      <w:r>
        <w:rPr>
          <w:rFonts w:ascii="Arial" w:cs="Arial" w:eastAsia="Arial" w:hAnsi="Arial"/>
          <w:i/>
          <w:iCs/>
          <w:color w:val="4A6080"/>
          <w:sz w:val="22"/>
          <w:szCs w:val="22"/>
        </w:rPr>
        <w:t xml:space="preserve">The most dangerous condition in this study is Sonnet 4.6 Low. It produced the highest actionability score and reasonable output completeness, which may create a false impression of quality. Its numerical accuracy score of 2 means it contains errors that a practitioner relying on it without verification could act on incorrectly.</w:t>
      </w:r>
    </w:p>
    <w:p>
      <w:r>
        <w:br w:type="page"/>
      </w:r>
    </w:p>
    <w:p>
      <w:pPr>
        <w:pStyle w:val="Heading1"/>
        <w:pBdr>
          <w:bottom w:val="single" w:color="0F1B2D" w:sz="6" w:space="4"/>
        </w:pBdr>
        <w:spacing w:after="160" w:before="320"/>
      </w:pPr>
      <w:r>
        <w:rPr>
          <w:rFonts w:ascii="Arial" w:cs="Arial" w:eastAsia="Arial" w:hAnsi="Arial"/>
          <w:b/>
          <w:bCs/>
          <w:color w:val="0F1B2D"/>
          <w:sz w:val="32"/>
          <w:szCs w:val="32"/>
        </w:rPr>
        <w:t xml:space="preserve">References</w:t>
      </w:r>
    </w:p>
    <w:p>
      <w:pPr>
        <w:spacing w:after="80" w:before="120" w:line="276"/>
        <w:jc w:val="left"/>
      </w:pPr>
      <w:r>
        <w:rPr>
          <w:rFonts w:ascii="Arial" w:cs="Arial" w:eastAsia="Arial" w:hAnsi="Arial"/>
          <w:b w:val="false"/>
          <w:bCs w:val="false"/>
          <w:i w:val="false"/>
          <w:iCs w:val="false"/>
          <w:color w:val="000000"/>
          <w:sz w:val="22"/>
          <w:szCs w:val="22"/>
        </w:rPr>
        <w:t xml:space="preserve">The following references are cited in the body of this paper. All web sources accessed June 2026.</w:t>
      </w:r>
    </w:p>
    <w:p>
      <w:pPr>
        <w:spacing w:after="40" w:before="120"/>
      </w:pPr>
      <w:r>
        <w:rPr>
          <w:rFonts w:ascii="Arial" w:cs="Arial" w:eastAsia="Arial" w:hAnsi="Arial"/>
          <w:b/>
          <w:bCs/>
          <w:color w:val="0F1B2D"/>
          <w:sz w:val="22"/>
          <w:szCs w:val="22"/>
        </w:rPr>
        <w:t xml:space="preserve">Academic and Research Sources</w:t>
      </w:r>
    </w:p>
    <w:p>
      <w:pPr>
        <w:spacing w:after="40" w:before="60" w:line="276"/>
        <w:ind w:left="720"/>
        <w:jc w:val="left"/>
      </w:pPr>
      <w:r>
        <w:rPr>
          <w:rFonts w:ascii="Arial" w:cs="Arial" w:eastAsia="Arial" w:hAnsi="Arial"/>
          <w:b w:val="false"/>
          <w:bCs w:val="false"/>
          <w:i w:val="false"/>
          <w:iCs w:val="false"/>
          <w:color w:val="000000"/>
          <w:sz w:val="22"/>
          <w:szCs w:val="22"/>
        </w:rPr>
        <w:t xml:space="preserve">Bigeard, A., Nashold, L., Krishnan, R., &amp; Wu, S. (2025). Finance Agent Benchmark: Benchmarking LLMs on Real-world Financial Research Tasks. arXiv:2508.00828.</w:t>
      </w:r>
    </w:p>
    <w:p>
      <w:pPr>
        <w:spacing w:after="40" w:before="40" w:line="276"/>
        <w:ind w:left="720"/>
        <w:jc w:val="left"/>
      </w:pPr>
      <w:r>
        <w:rPr>
          <w:rFonts w:ascii="Arial" w:cs="Arial" w:eastAsia="Arial" w:hAnsi="Arial"/>
          <w:b w:val="false"/>
          <w:bCs w:val="false"/>
          <w:i w:val="false"/>
          <w:iCs w:val="false"/>
          <w:color w:val="000000"/>
          <w:sz w:val="22"/>
          <w:szCs w:val="22"/>
        </w:rPr>
        <w:t xml:space="preserve">Chen, Z., Chen, W., Smiley, C., Shah, S., Borova, I., Langdon, D., &amp; Wang, W. Y. (2021). FinQA: A dataset of numerical reasoning over financial data. Proceedings of EMNLP 2021.</w:t>
      </w:r>
    </w:p>
    <w:p>
      <w:pPr>
        <w:spacing w:after="40" w:before="40" w:line="276"/>
        <w:ind w:left="720"/>
        <w:jc w:val="left"/>
      </w:pPr>
      <w:r>
        <w:rPr>
          <w:rFonts w:ascii="Arial" w:cs="Arial" w:eastAsia="Arial" w:hAnsi="Arial"/>
          <w:b w:val="false"/>
          <w:bCs w:val="false"/>
          <w:i w:val="false"/>
          <w:iCs w:val="false"/>
          <w:color w:val="000000"/>
          <w:sz w:val="22"/>
          <w:szCs w:val="22"/>
        </w:rPr>
        <w:t xml:space="preserve">Coqueret, G., &amp; Guida, T. (2025). Constructing a Portfolio Optimization Benchmark Framework for Evaluating Large Language Models. arXiv preprint.</w:t>
      </w:r>
    </w:p>
    <w:p>
      <w:pPr>
        <w:spacing w:after="40" w:before="40" w:line="276"/>
        <w:ind w:left="720"/>
        <w:jc w:val="left"/>
      </w:pPr>
      <w:r>
        <w:rPr>
          <w:rFonts w:ascii="Arial" w:cs="Arial" w:eastAsia="Arial" w:hAnsi="Arial"/>
          <w:b w:val="false"/>
          <w:bCs w:val="false"/>
          <w:i w:val="false"/>
          <w:iCs w:val="false"/>
          <w:color w:val="000000"/>
          <w:sz w:val="22"/>
          <w:szCs w:val="22"/>
        </w:rPr>
        <w:t xml:space="preserve">Husain, H., &amp; Shankar, S. (2026). LLM Evals: Everything You Need to Know. Retrieved from hamel.dev/blog/posts/evals-faq.</w:t>
      </w:r>
    </w:p>
    <w:p>
      <w:pPr>
        <w:spacing w:after="40" w:before="40" w:line="276"/>
        <w:ind w:left="720"/>
        <w:jc w:val="left"/>
      </w:pPr>
      <w:r>
        <w:rPr>
          <w:rFonts w:ascii="Arial" w:cs="Arial" w:eastAsia="Arial" w:hAnsi="Arial"/>
          <w:b w:val="false"/>
          <w:bCs w:val="false"/>
          <w:i w:val="false"/>
          <w:iCs w:val="false"/>
          <w:color w:val="000000"/>
          <w:sz w:val="22"/>
          <w:szCs w:val="22"/>
        </w:rPr>
        <w:t xml:space="preserve">Li, Y., et al. (2026). Think Deep, Not Just Long: Measuring LLM Reasoning Effort via Deep-Thinking Tokens. arXiv:2602.13517.</w:t>
      </w:r>
    </w:p>
    <w:p>
      <w:pPr>
        <w:spacing w:after="40" w:before="40" w:line="276"/>
        <w:ind w:left="720"/>
        <w:jc w:val="left"/>
      </w:pPr>
      <w:r>
        <w:rPr>
          <w:rFonts w:ascii="Arial" w:cs="Arial" w:eastAsia="Arial" w:hAnsi="Arial"/>
          <w:b w:val="false"/>
          <w:bCs w:val="false"/>
          <w:i w:val="false"/>
          <w:iCs w:val="false"/>
          <w:color w:val="000000"/>
          <w:sz w:val="22"/>
          <w:szCs w:val="22"/>
        </w:rPr>
        <w:t xml:space="preserve">Lin, L., Liu, J., Yang, T., Cai, L., Xu, Y., Wei, L., Xie, S., &amp; Zhang, G. (2025). JADE: Expert-Grounded Dynamic Evaluation for Open-Ended Professional Tasks. arXiv:2602.06486.</w:t>
      </w:r>
    </w:p>
    <w:p>
      <w:pPr>
        <w:spacing w:after="40" w:before="40" w:line="276"/>
        <w:ind w:left="720"/>
        <w:jc w:val="left"/>
      </w:pPr>
      <w:r>
        <w:rPr>
          <w:rFonts w:ascii="Arial" w:cs="Arial" w:eastAsia="Arial" w:hAnsi="Arial"/>
          <w:b w:val="false"/>
          <w:bCs w:val="false"/>
          <w:i w:val="false"/>
          <w:iCs w:val="false"/>
          <w:color w:val="000000"/>
          <w:sz w:val="22"/>
          <w:szCs w:val="22"/>
        </w:rPr>
        <w:t xml:space="preserve">Sardana, N., et al. (2025). Beyond Chinchilla-Optimal: Accounting for Inference in Language Model Scaling Laws. arXiv preprint.</w:t>
      </w:r>
    </w:p>
    <w:p>
      <w:pPr>
        <w:spacing w:after="40" w:before="40" w:line="276"/>
        <w:ind w:left="720"/>
        <w:jc w:val="left"/>
      </w:pPr>
      <w:r>
        <w:rPr>
          <w:rFonts w:ascii="Arial" w:cs="Arial" w:eastAsia="Arial" w:hAnsi="Arial"/>
          <w:b w:val="false"/>
          <w:bCs w:val="false"/>
          <w:i w:val="false"/>
          <w:iCs w:val="false"/>
          <w:color w:val="000000"/>
          <w:sz w:val="22"/>
          <w:szCs w:val="22"/>
        </w:rPr>
        <w:t xml:space="preserve">Snell, C., Lee, J., Xu, K., &amp; Kumar, A. (2024). Scaling LLM Test-Time Compute Optimally Can Be More Effective than Scaling Model Parameters. arXiv:2408.03314.</w:t>
      </w:r>
    </w:p>
    <w:p>
      <w:pPr>
        <w:spacing w:after="40" w:before="40" w:line="276"/>
        <w:ind w:left="720"/>
        <w:jc w:val="left"/>
      </w:pPr>
      <w:r>
        <w:rPr>
          <w:rFonts w:ascii="Arial" w:cs="Arial" w:eastAsia="Arial" w:hAnsi="Arial"/>
          <w:b w:val="false"/>
          <w:bCs w:val="false"/>
          <w:i w:val="false"/>
          <w:iCs w:val="false"/>
          <w:color w:val="000000"/>
          <w:sz w:val="22"/>
          <w:szCs w:val="22"/>
        </w:rPr>
        <w:t xml:space="preserve">Su, J., Healey, J., Nakov, P., &amp; Cardie, C. (2025). Between Underthinking and Overthinking: An Empirical Study of Reasoning Length and Correctness in LLMs. arXiv:2505.00127.</w:t>
      </w:r>
    </w:p>
    <w:p>
      <w:pPr>
        <w:spacing w:after="40" w:before="40" w:line="276"/>
        <w:ind w:left="720"/>
        <w:jc w:val="left"/>
      </w:pPr>
      <w:r>
        <w:rPr>
          <w:rFonts w:ascii="Arial" w:cs="Arial" w:eastAsia="Arial" w:hAnsi="Arial"/>
          <w:b w:val="false"/>
          <w:bCs w:val="false"/>
          <w:i w:val="false"/>
          <w:iCs w:val="false"/>
          <w:color w:val="000000"/>
          <w:sz w:val="22"/>
          <w:szCs w:val="22"/>
        </w:rPr>
        <w:t xml:space="preserve">Zhao, X., et al. (2024). XFinBench: A Benchmark for Evaluating LLMs on Complex Financial Problems. Withdrawn submission, ICLR 2025. OpenReview.</w:t>
      </w:r>
    </w:p>
    <w:p>
      <w:pPr>
        <w:spacing w:after="80" w:before="40" w:line="276"/>
        <w:ind w:left="720"/>
        <w:jc w:val="left"/>
      </w:pPr>
      <w:r>
        <w:rPr>
          <w:rFonts w:ascii="Arial" w:cs="Arial" w:eastAsia="Arial" w:hAnsi="Arial"/>
          <w:b w:val="false"/>
          <w:bCs w:val="false"/>
          <w:i w:val="false"/>
          <w:iCs w:val="false"/>
          <w:color w:val="000000"/>
          <w:sz w:val="22"/>
          <w:szCs w:val="22"/>
        </w:rPr>
        <w:t xml:space="preserve">Zheng, L., et al. (2023). Judging LLM-as-a-Judge with MT-Bench and Chatbot Arena. arXiv:2306.05685.</w:t>
      </w:r>
    </w:p>
    <w:p>
      <w:pPr>
        <w:spacing w:after="40" w:before="80"/>
      </w:pPr>
      <w:r>
        <w:rPr>
          <w:rFonts w:ascii="Arial" w:cs="Arial" w:eastAsia="Arial" w:hAnsi="Arial"/>
          <w:b/>
          <w:bCs/>
          <w:color w:val="0F1B2D"/>
          <w:sz w:val="22"/>
          <w:szCs w:val="22"/>
        </w:rPr>
        <w:t xml:space="preserve">Industry and Practitioner Sources</w:t>
      </w:r>
    </w:p>
    <w:p>
      <w:pPr>
        <w:spacing w:after="40" w:before="40" w:line="276"/>
        <w:ind w:left="720"/>
        <w:jc w:val="left"/>
      </w:pPr>
      <w:r>
        <w:rPr>
          <w:rFonts w:ascii="Arial" w:cs="Arial" w:eastAsia="Arial" w:hAnsi="Arial"/>
          <w:b w:val="false"/>
          <w:bCs w:val="false"/>
          <w:i w:val="false"/>
          <w:iCs w:val="false"/>
          <w:color w:val="000000"/>
          <w:sz w:val="22"/>
          <w:szCs w:val="22"/>
        </w:rPr>
        <w:t xml:space="preserve">Amazon Science. (2025). Trading Quality, Cost, and Speed During Inference-Time Compute Scaling. NeurIPS 2025 Workshop: Efficient Reasoning. assets.amazon.science.</w:t>
      </w:r>
    </w:p>
    <w:p>
      <w:pPr>
        <w:spacing w:after="40" w:before="40" w:line="276"/>
        <w:ind w:left="720"/>
        <w:jc w:val="left"/>
      </w:pPr>
      <w:r>
        <w:rPr>
          <w:rFonts w:ascii="Arial" w:cs="Arial" w:eastAsia="Arial" w:hAnsi="Arial"/>
          <w:b w:val="false"/>
          <w:bCs w:val="false"/>
          <w:i w:val="false"/>
          <w:iCs w:val="false"/>
          <w:color w:val="000000"/>
          <w:sz w:val="22"/>
          <w:szCs w:val="22"/>
        </w:rPr>
        <w:t xml:space="preserve">Anthropic. (2026). Claude Opus 4.8 and Sonnet 4.6 Model Documentation. docs.claude.ai.</w:t>
      </w:r>
    </w:p>
    <w:p>
      <w:pPr>
        <w:spacing w:after="80" w:before="40" w:line="276"/>
        <w:ind w:left="720"/>
        <w:jc w:val="left"/>
      </w:pPr>
      <w:r>
        <w:rPr>
          <w:rFonts w:ascii="Arial" w:cs="Arial" w:eastAsia="Arial" w:hAnsi="Arial"/>
          <w:b w:val="false"/>
          <w:bCs w:val="false"/>
          <w:i w:val="false"/>
          <w:iCs w:val="false"/>
          <w:color w:val="000000"/>
          <w:sz w:val="22"/>
          <w:szCs w:val="22"/>
        </w:rPr>
        <w:t xml:space="preserve">Evidently AI. (2026). LLM Evaluation: A Beginner's Guide. evidentlyai.com/llm-guide/llm-evaluation.</w:t>
      </w:r>
    </w:p>
    <w:p>
      <w:pPr>
        <w:spacing w:after="0" w:before="0" w:line="240"/>
      </w:pPr>
      <w:r>
        <w:rPr>
          <w:rFonts w:ascii="Arial" w:cs="Arial" w:eastAsia="Arial" w:hAnsi="Arial"/>
          <w:sz w:val="22"/>
          <w:szCs w:val="22"/>
        </w:rPr>
        <w:t xml:space="preserve"/>
      </w:r>
    </w:p>
    <w:p>
      <w:pPr>
        <w:pStyle w:val="Heading1"/>
        <w:pBdr>
          <w:bottom w:val="single" w:color="0F1B2D" w:sz="6" w:space="4"/>
        </w:pBdr>
        <w:spacing w:after="160" w:before="320"/>
      </w:pPr>
      <w:r>
        <w:rPr>
          <w:rFonts w:ascii="Arial" w:cs="Arial" w:eastAsia="Arial" w:hAnsi="Arial"/>
          <w:b/>
          <w:bCs/>
          <w:color w:val="0F1B2D"/>
          <w:sz w:val="32"/>
          <w:szCs w:val="32"/>
        </w:rPr>
        <w:t xml:space="preserve">Appendix A, Full Prompt</w:t>
      </w:r>
    </w:p>
    <w:p>
      <w:pPr>
        <w:spacing w:after="80" w:before="120" w:line="276"/>
        <w:jc w:val="left"/>
      </w:pPr>
      <w:r>
        <w:rPr>
          <w:rFonts w:ascii="Arial" w:cs="Arial" w:eastAsia="Arial" w:hAnsi="Arial"/>
          <w:b w:val="false"/>
          <w:bCs w:val="false"/>
          <w:i w:val="false"/>
          <w:iCs w:val="false"/>
          <w:color w:val="000000"/>
          <w:sz w:val="22"/>
          <w:szCs w:val="22"/>
        </w:rPr>
        <w:t xml:space="preserve">The following prompt was submitted identically in all five experimental conditions, together with the Meridian Manufacturing Excel dataset as an uploaded file attachment.</w:t>
      </w:r>
    </w:p>
    <w:p>
      <w:pPr>
        <w:pBdr>
          <w:left w:val="single" w:color="0F1B2D" w:sz="8" w:space="8"/>
        </w:pBdr>
        <w:shd w:fill="F4F7FB" w:val="clear"/>
        <w:spacing w:after="80" w:before="80" w:line="276"/>
        <w:ind w:left="720" w:right="720"/>
      </w:pPr>
      <w:r>
        <w:rPr>
          <w:rFonts w:ascii="Arial" w:cs="Arial" w:eastAsia="Arial" w:hAnsi="Arial"/>
          <w:i/>
          <w:iCs/>
          <w:color w:val="4A6080"/>
          <w:sz w:val="21"/>
          <w:szCs w:val="21"/>
        </w:rPr>
        <w:t xml:space="preserve">You are a senior FP&amp;A professional. Below is the monthly financial data for Meridian Manufacturing Inc. for the period ending April 2026. Produce a complete CFO-ready monthly close reporting package including: Data Quality Summary, Executive Summary, KPI Dashboard, Revenue Analysis, Income Statement &amp; EBITDA Bridge with variance classification (OT/T/R/S/U), Cash Flow, Balance Sheet, Root-Cause &amp; Action Plan, Reforecast Implications, and a Board Pack One-Pager. Apply traffic light ratings, causal commentary (not descriptive), and flag any red flags. End every section with one concrete recommended action.</w:t>
      </w:r>
    </w:p>
    <w:p>
      <w:pPr>
        <w:spacing w:after="0" w:before="0" w:line="240"/>
      </w:pPr>
      <w:r>
        <w:rPr>
          <w:rFonts w:ascii="Arial" w:cs="Arial" w:eastAsia="Arial" w:hAnsi="Arial"/>
          <w:sz w:val="22"/>
          <w:szCs w:val="22"/>
        </w:rPr>
        <w:t xml:space="preserve"/>
      </w:r>
    </w:p>
    <w:p>
      <w:pPr>
        <w:pStyle w:val="Heading1"/>
        <w:pBdr>
          <w:bottom w:val="single" w:color="0F1B2D" w:sz="6" w:space="4"/>
        </w:pBdr>
        <w:spacing w:after="160" w:before="320"/>
      </w:pPr>
      <w:r>
        <w:rPr>
          <w:rFonts w:ascii="Arial" w:cs="Arial" w:eastAsia="Arial" w:hAnsi="Arial"/>
          <w:b/>
          <w:bCs/>
          <w:color w:val="0F1B2D"/>
          <w:sz w:val="32"/>
          <w:szCs w:val="32"/>
        </w:rPr>
        <w:t xml:space="preserve">Appendix B, Dataset Summary</w:t>
      </w:r>
    </w:p>
    <w:p>
      <w:pPr>
        <w:spacing w:after="80" w:before="120" w:line="276"/>
        <w:jc w:val="left"/>
      </w:pPr>
      <w:r>
        <w:rPr>
          <w:rFonts w:ascii="Arial" w:cs="Arial" w:eastAsia="Arial" w:hAnsi="Arial"/>
          <w:b w:val="false"/>
          <w:bCs w:val="false"/>
          <w:i w:val="false"/>
          <w:iCs w:val="false"/>
          <w:color w:val="000000"/>
          <w:sz w:val="22"/>
          <w:szCs w:val="22"/>
        </w:rPr>
        <w:t xml:space="preserve">The Meridian Manufacturing dataset comprised three Excel tabs: 1_Setup (company profile, materiality thresholds at 10%/$50K, GL classification hints), 2_Budget (fifteen line items, full twelve-month annual budget), and 3_Raw_Data (forty-two individual GL transactions for April 2026). Key embedded figures:</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Revenue (April actual): $3,540K vs budget $4,200K (variance $660K unfavourable, 15.7%)</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COGS (April actual): $2,588K (direct materials $1,382K, direct labour $888K, manufacturing OH $318K)</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Gross Profit: $952K, GP Margin 26.9% vs budget 35.0% (8.1pp compression)</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EBITDA: $195K vs budget $630K (variance $435K unfavourable, 69.0%)</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Cash closing balance: $1,650K; monthly operating expenses $780K; runway 2.1 months</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Two orders deferred to Q3: $280K + $195K = $475K timing variance</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Copper raw material cost increase: approximately 12% since January</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New engineering hire (January): salary running $40K/year above budget (recurring)</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Trade show (April): $35K above marketing budget (one-time)</w:t>
      </w:r>
    </w:p>
    <w:p>
      <w:pPr>
        <w:pStyle w:val="ListParagraph"/>
        <w:numPr>
          <w:ilvl w:val="0"/>
          <w:numId w:val="2"/>
        </w:numPr>
        <w:spacing w:after="60" w:before="60" w:line="276"/>
      </w:pPr>
      <w:r>
        <w:rPr>
          <w:rFonts w:ascii="Arial" w:cs="Arial" w:eastAsia="Arial" w:hAnsi="Arial"/>
          <w:b w:val="false"/>
          <w:bCs w:val="false"/>
          <w:color w:val="000000"/>
          <w:sz w:val="22"/>
          <w:szCs w:val="22"/>
        </w:rPr>
        <w:t xml:space="preserve">Service contract renewals: $420K annualised, due May, outcome uncertain</w:t>
      </w:r>
    </w:p>
    <w:p>
      <w:pPr>
        <w:spacing w:after="0" w:before="0" w:line="240"/>
      </w:pPr>
      <w:r>
        <w:rPr>
          <w:rFonts w:ascii="Arial" w:cs="Arial" w:eastAsia="Arial" w:hAnsi="Arial"/>
          <w:sz w:val="22"/>
          <w:szCs w:val="22"/>
        </w:rPr>
        <w:t xml:space="preserve"/>
      </w:r>
    </w:p>
    <w:p>
      <w:pPr>
        <w:pStyle w:val="Heading1"/>
        <w:pBdr>
          <w:bottom w:val="single" w:color="0F1B2D" w:sz="6" w:space="4"/>
        </w:pBdr>
        <w:spacing w:after="160" w:before="320"/>
      </w:pPr>
      <w:r>
        <w:rPr>
          <w:rFonts w:ascii="Arial" w:cs="Arial" w:eastAsia="Arial" w:hAnsi="Arial"/>
          <w:b/>
          <w:bCs/>
          <w:color w:val="0F1B2D"/>
          <w:sz w:val="32"/>
          <w:szCs w:val="32"/>
        </w:rPr>
        <w:t xml:space="preserve">Appendix C, Raw Scores by Condition</w:t>
      </w:r>
    </w:p>
    <w:p>
      <w:pPr>
        <w:spacing w:after="80" w:before="120" w:line="276"/>
        <w:jc w:val="left"/>
      </w:pPr>
      <w:r>
        <w:rPr>
          <w:rFonts w:ascii="Arial" w:cs="Arial" w:eastAsia="Arial" w:hAnsi="Arial"/>
          <w:b w:val="false"/>
          <w:bCs w:val="false"/>
          <w:i w:val="false"/>
          <w:iCs w:val="false"/>
          <w:color w:val="000000"/>
          <w:sz w:val="22"/>
          <w:szCs w:val="22"/>
        </w:rPr>
        <w:t xml:space="preserve">For full transparency, the complete dimension scores for each condition are reproduced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700"/>
        <w:gridCol w:w="700"/>
        <w:gridCol w:w="700"/>
        <w:gridCol w:w="700"/>
        <w:gridCol w:w="700"/>
        <w:gridCol w:w="700"/>
        <w:gridCol w:w="700"/>
        <w:gridCol w:w="1460"/>
      </w:tblGrid>
      <w:tr>
        <w:tc>
          <w:tcPr>
            <w:tcW w:type="dxa" w:w="24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left"/>
            </w:pPr>
            <w:r>
              <w:rPr>
                <w:rFonts w:ascii="Arial" w:cs="Arial" w:eastAsia="Arial" w:hAnsi="Arial"/>
                <w:b/>
                <w:bCs/>
                <w:color w:val="FFFFFF"/>
                <w:sz w:val="18"/>
                <w:szCs w:val="18"/>
              </w:rPr>
              <w:t xml:space="preserve">Condition</w:t>
            </w:r>
          </w:p>
        </w:tc>
        <w:tc>
          <w:tcPr>
            <w:tcW w:type="dxa" w:w="7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D1</w:t>
            </w:r>
          </w:p>
        </w:tc>
        <w:tc>
          <w:tcPr>
            <w:tcW w:type="dxa" w:w="7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D2</w:t>
            </w:r>
          </w:p>
        </w:tc>
        <w:tc>
          <w:tcPr>
            <w:tcW w:type="dxa" w:w="7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D3</w:t>
            </w:r>
          </w:p>
        </w:tc>
        <w:tc>
          <w:tcPr>
            <w:tcW w:type="dxa" w:w="7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D4</w:t>
            </w:r>
          </w:p>
        </w:tc>
        <w:tc>
          <w:tcPr>
            <w:tcW w:type="dxa" w:w="7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D5</w:t>
            </w:r>
          </w:p>
        </w:tc>
        <w:tc>
          <w:tcPr>
            <w:tcW w:type="dxa" w:w="7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D6</w:t>
            </w:r>
          </w:p>
        </w:tc>
        <w:tc>
          <w:tcPr>
            <w:tcW w:type="dxa" w:w="70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D7</w:t>
            </w:r>
          </w:p>
        </w:tc>
        <w:tc>
          <w:tcPr>
            <w:tcW w:type="dxa" w:w="1460"/>
            <w:tcBorders>
              <w:top w:val="single" w:color="CBD5E1" w:sz="1"/>
              <w:left w:val="single" w:color="CBD5E1" w:sz="1"/>
              <w:bottom w:val="single" w:color="CBD5E1" w:sz="1"/>
              <w:right w:val="single" w:color="CBD5E1" w:sz="1"/>
            </w:tcBorders>
            <w:shd w:fill="0F1B2D"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Score/100</w:t>
            </w:r>
          </w:p>
        </w:tc>
      </w:tr>
      <w:tr>
        <w:tc>
          <w:tcPr>
            <w:tcW w:type="dxa" w:w="24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19"/>
                <w:szCs w:val="19"/>
              </w:rPr>
              <w:t xml:space="preserve">Opus 4.8 / High</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4</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4</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5</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4</w:t>
            </w:r>
          </w:p>
        </w:tc>
        <w:tc>
          <w:tcPr>
            <w:tcW w:type="dxa" w:w="14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bCs/>
                <w:color w:val="1A6B3C"/>
                <w:sz w:val="19"/>
                <w:szCs w:val="19"/>
              </w:rPr>
              <w:t xml:space="preserve">74</w:t>
            </w:r>
          </w:p>
        </w:tc>
      </w:tr>
      <w:tr>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bCs/>
                <w:color w:val="0F1B2D"/>
                <w:sz w:val="19"/>
                <w:szCs w:val="19"/>
              </w:rPr>
              <w:t xml:space="preserve">Opus 4.8 / Low</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4</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5</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4</w:t>
            </w:r>
          </w:p>
        </w:tc>
        <w:tc>
          <w:tcPr>
            <w:tcW w:type="dxa" w:w="14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bCs/>
                <w:color w:val="000000"/>
                <w:sz w:val="19"/>
                <w:szCs w:val="19"/>
              </w:rPr>
              <w:t xml:space="preserve">70</w:t>
            </w:r>
          </w:p>
        </w:tc>
      </w:tr>
      <w:tr>
        <w:tc>
          <w:tcPr>
            <w:tcW w:type="dxa" w:w="24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19"/>
                <w:szCs w:val="19"/>
              </w:rPr>
              <w:t xml:space="preserve">Sonnet 4.6 / High</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4</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4</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5</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5</w:t>
            </w:r>
          </w:p>
        </w:tc>
        <w:tc>
          <w:tcPr>
            <w:tcW w:type="dxa" w:w="14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bCs/>
                <w:color w:val="1A6B3C"/>
                <w:sz w:val="19"/>
                <w:szCs w:val="19"/>
              </w:rPr>
              <w:t xml:space="preserve">74</w:t>
            </w:r>
          </w:p>
        </w:tc>
      </w:tr>
      <w:tr>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left"/>
            </w:pPr>
            <w:r>
              <w:rPr>
                <w:rFonts w:ascii="Arial" w:cs="Arial" w:eastAsia="Arial" w:hAnsi="Arial"/>
                <w:b/>
                <w:bCs/>
                <w:color w:val="0F1B2D"/>
                <w:sz w:val="19"/>
                <w:szCs w:val="19"/>
              </w:rPr>
              <w:t xml:space="preserve">Sonnet 4.6 / Medium</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4</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2</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4</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5</w:t>
            </w:r>
          </w:p>
        </w:tc>
        <w:tc>
          <w:tcPr>
            <w:tcW w:type="dxa" w:w="7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14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bCs/>
                <w:color w:val="8B1A1A"/>
                <w:sz w:val="19"/>
                <w:szCs w:val="19"/>
              </w:rPr>
              <w:t xml:space="preserve">67</w:t>
            </w:r>
          </w:p>
        </w:tc>
      </w:tr>
      <w:tr>
        <w:tc>
          <w:tcPr>
            <w:tcW w:type="dxa" w:w="24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left"/>
            </w:pPr>
            <w:r>
              <w:rPr>
                <w:rFonts w:ascii="Arial" w:cs="Arial" w:eastAsia="Arial" w:hAnsi="Arial"/>
                <w:b/>
                <w:bCs/>
                <w:color w:val="0F1B2D"/>
                <w:sz w:val="19"/>
                <w:szCs w:val="19"/>
              </w:rPr>
              <w:t xml:space="preserve">Sonnet 4.6 / Low</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4</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4</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3</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2</w:t>
            </w:r>
          </w:p>
        </w:tc>
        <w:tc>
          <w:tcPr>
            <w:tcW w:type="dxa" w:w="70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val="false"/>
                <w:bCs w:val="false"/>
                <w:color w:val="000000"/>
                <w:sz w:val="19"/>
                <w:szCs w:val="19"/>
              </w:rPr>
              <w:t xml:space="preserve">5</w:t>
            </w:r>
          </w:p>
        </w:tc>
        <w:tc>
          <w:tcPr>
            <w:tcW w:type="dxa" w:w="1460"/>
            <w:tcBorders>
              <w:top w:val="single" w:color="CBD5E1" w:sz="1"/>
              <w:left w:val="single" w:color="CBD5E1" w:sz="1"/>
              <w:bottom w:val="single" w:color="CBD5E1" w:sz="1"/>
              <w:right w:val="single" w:color="CBD5E1" w:sz="1"/>
            </w:tcBorders>
            <w:shd w:fill="F4F7FB" w:val="clear"/>
            <w:tcMar>
              <w:top w:type="dxa" w:w="80"/>
              <w:left w:type="dxa" w:w="120"/>
              <w:bottom w:type="dxa" w:w="80"/>
              <w:right w:type="dxa" w:w="120"/>
            </w:tcMar>
          </w:tcPr>
          <w:p>
            <w:pPr>
              <w:jc w:val="center"/>
            </w:pPr>
            <w:r>
              <w:rPr>
                <w:rFonts w:ascii="Arial" w:cs="Arial" w:eastAsia="Arial" w:hAnsi="Arial"/>
                <w:b/>
                <w:bCs/>
                <w:color w:val="8B1A1A"/>
                <w:sz w:val="19"/>
                <w:szCs w:val="19"/>
              </w:rPr>
              <w:t xml:space="preserve">66</w:t>
            </w:r>
          </w:p>
        </w:tc>
      </w:tr>
    </w:tbl>
    <w:p>
      <w:pPr>
        <w:spacing w:after="0" w:before="0" w:line="240"/>
      </w:pPr>
      <w:r>
        <w:rPr>
          <w:rFonts w:ascii="Arial" w:cs="Arial" w:eastAsia="Arial" w:hAnsi="Arial"/>
          <w:sz w:val="22"/>
          <w:szCs w:val="22"/>
        </w:rPr>
        <w:t xml:space="preserve"/>
      </w:r>
    </w:p>
    <w:p>
      <w:pPr>
        <w:spacing w:after="0" w:before="0" w:line="240"/>
      </w:pPr>
      <w:r>
        <w:rPr>
          <w:rFonts w:ascii="Arial" w:cs="Arial" w:eastAsia="Arial" w:hAnsi="Arial"/>
          <w:sz w:val="22"/>
          <w:szCs w:val="22"/>
        </w:rPr>
        <w:t xml:space="preserve"/>
      </w:r>
    </w:p>
    <w:p>
      <w:pPr>
        <w:pBdr>
          <w:top w:val="single" w:color="C9A84C" w:sz="4" w:space="4"/>
        </w:pBdr>
        <w:spacing w:after="80" w:before="120"/>
      </w:pPr>
      <w:r>
        <w:rPr>
          <w:rFonts w:ascii="Arial" w:cs="Arial" w:eastAsia="Arial" w:hAnsi="Arial"/>
          <w:sz w:val="22"/>
          <w:szCs w:val="22"/>
        </w:rPr>
        <w:t xml:space="preserve"/>
      </w:r>
    </w:p>
    <w:p>
      <w:pPr>
        <w:spacing w:after="40" w:before="80" w:line="276"/>
        <w:jc w:val="left"/>
      </w:pPr>
      <w:r>
        <w:rPr>
          <w:rFonts w:ascii="Arial" w:cs="Arial" w:eastAsia="Arial" w:hAnsi="Arial"/>
          <w:b/>
          <w:bCs/>
          <w:i w:val="false"/>
          <w:iCs w:val="false"/>
          <w:color w:val="0F1B2D"/>
          <w:sz w:val="22"/>
          <w:szCs w:val="22"/>
        </w:rPr>
        <w:t xml:space="preserve">Yehuda Slater</w:t>
      </w:r>
      <w:r>
        <w:rPr>
          <w:rFonts w:ascii="Arial" w:cs="Arial" w:eastAsia="Arial" w:hAnsi="Arial"/>
          <w:b w:val="false"/>
          <w:bCs w:val="false"/>
          <w:i w:val="false"/>
          <w:iCs w:val="false"/>
          <w:color w:val="4A6080"/>
          <w:sz w:val="20"/>
          <w:szCs w:val="20"/>
        </w:rPr>
        <w:t xml:space="preserve">  |  FP&amp;A Professional &amp; Strategic Financial Consultant  |  </w:t>
      </w:r>
      <w:r>
        <w:rPr>
          <w:rFonts w:ascii="Arial" w:cs="Arial" w:eastAsia="Arial" w:hAnsi="Arial"/>
          <w:b w:val="false"/>
          <w:bCs w:val="false"/>
          <w:i/>
          <w:iCs/>
          <w:color w:val="4A6080"/>
          <w:sz w:val="20"/>
          <w:szCs w:val="20"/>
        </w:rPr>
        <w:t xml:space="preserve">yehuda-slater.netlify.app</w:t>
      </w:r>
    </w:p>
    <w:p>
      <w:pPr>
        <w:spacing w:after="80" w:before="40" w:line="276"/>
        <w:jc w:val="left"/>
      </w:pPr>
      <w:r>
        <w:rPr>
          <w:rFonts w:ascii="Arial" w:cs="Arial" w:eastAsia="Arial" w:hAnsi="Arial"/>
          <w:b w:val="false"/>
          <w:bCs w:val="false"/>
          <w:i w:val="false"/>
          <w:iCs w:val="false"/>
          <w:color w:val="4A6080"/>
          <w:sz w:val="19"/>
          <w:szCs w:val="19"/>
        </w:rPr>
        <w:t xml:space="preserve">PhD Economics, Hebrew University of Jerusalem. Background in revenue modeling, pricing strategy, cash forecasting, and capital investment evaluation in manufacturing environments.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1B2D" w:sz="4" w:space="4"/>
      </w:pBdr>
      <w:tabs>
        <w:tab w:val="right" w:pos="9360"/>
      </w:tabs>
      <w:spacing w:after="0" w:before="120"/>
    </w:pPr>
    <w:r>
      <w:rPr>
        <w:rFonts w:ascii="Arial" w:cs="Arial" w:eastAsia="Arial" w:hAnsi="Arial"/>
        <w:color w:val="4A6080"/>
        <w:sz w:val="18"/>
        <w:szCs w:val="18"/>
      </w:rPr>
      <w:t xml:space="preserve">Yehuda Slater | yehuda-slater.netlify.app</w:t>
    </w:r>
    <w:r>
      <w:rPr>
        <w:rFonts w:ascii="Arial" w:cs="Arial" w:eastAsia="Arial" w:hAnsi="Arial"/>
        <w:color w:val="4A6080"/>
        <w:sz w:val="18"/>
        <w:szCs w:val="18"/>
      </w:rPr>
      <w:t xml:space="preserve">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F1B2D" w:sz="4" w:space="4"/>
      </w:pBdr>
      <w:tabs>
        <w:tab w:val="right" w:pos="9360"/>
      </w:tabs>
      <w:spacing w:after="120" w:before="0"/>
    </w:pPr>
    <w:r>
      <w:rPr>
        <w:rFonts w:ascii="Arial" w:cs="Arial" w:eastAsia="Arial" w:hAnsi="Arial"/>
        <w:color w:val="4A6080"/>
        <w:sz w:val="18"/>
        <w:szCs w:val="18"/>
      </w:rPr>
      <w:t xml:space="preserve">FP&amp;A Benchmark Study, Claude Model Experiment</w:t>
    </w:r>
    <w:r>
      <w:rPr>
        <w:rFonts w:ascii="Arial" w:cs="Arial" w:eastAsia="Arial" w:hAnsi="Arial"/>
        <w:sz w:val="18"/>
        <w:szCs w:val="18"/>
      </w:rPr>
      <w:t xml:space="preserve">	</w:t>
    </w:r>
    <w:r>
      <w:rPr>
        <w:rFonts w:ascii="Arial" w:cs="Arial" w:eastAsia="Arial" w:hAnsi="Arial"/>
        <w:color w:val="4A6080"/>
        <w:sz w:val="18"/>
        <w:szCs w:val="18"/>
      </w:rPr>
      <w:t xml:space="preserve">June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F1B2D"/>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0F1B2D"/>
      <w:sz w:val="26"/>
      <w:szCs w:val="26"/>
    </w:rPr>
  </w:style>
  <w:style w:type="paragraph" w:styleId="Heading3">
    <w:name w:val="Heading 3"/>
    <w:basedOn w:val="Normal"/>
    <w:next w:val="Normal"/>
    <w:qFormat/>
    <w:pPr>
      <w:spacing w:after="80" w:before="180"/>
      <w:outlineLvl w:val="2"/>
    </w:pPr>
    <w:rPr>
      <w:rFonts w:ascii="Arial" w:cs="Arial" w:eastAsia="Arial" w:hAnsi="Arial"/>
      <w:b/>
      <w:bCs/>
      <w:color w:val="4A608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2026-06-02T01:51:25.744Z</dcterms:created>
  <dcterms:modified xsi:type="dcterms:W3CDTF">2026-06-02T01:51:25.756Z</dcterms:modified>
</cp:coreProperties>
</file>

<file path=docProps/custom.xml><?xml version="1.0" encoding="utf-8"?>
<Properties xmlns="http://schemas.openxmlformats.org/officeDocument/2006/custom-properties" xmlns:vt="http://schemas.openxmlformats.org/officeDocument/2006/docPropsVTypes"/>
</file>